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60" w:rsidRPr="00563D60" w:rsidRDefault="00253227" w:rsidP="002C0FD9">
      <w:pPr>
        <w:pStyle w:val="Bodytext60"/>
        <w:shd w:val="clear" w:color="auto" w:fill="auto"/>
        <w:spacing w:before="0"/>
        <w:ind w:right="360"/>
        <w:rPr>
          <w:rStyle w:val="Bodytext6Spacing3pt"/>
          <w:color w:val="000000"/>
          <w:lang w:val="en-US"/>
        </w:rPr>
      </w:pPr>
      <w:r>
        <w:rPr>
          <w:b w:val="0"/>
          <w:bCs w:val="0"/>
          <w:noProof/>
          <w:color w:val="000000"/>
          <w:spacing w:val="7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326390</wp:posOffset>
            </wp:positionV>
            <wp:extent cx="5753100" cy="1514475"/>
            <wp:effectExtent l="19050" t="0" r="0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53227" w:rsidRPr="00253227" w:rsidRDefault="00253227" w:rsidP="002C0FD9">
      <w:pPr>
        <w:pStyle w:val="Bodytext60"/>
        <w:shd w:val="clear" w:color="auto" w:fill="auto"/>
        <w:spacing w:before="0"/>
        <w:ind w:right="360"/>
        <w:rPr>
          <w:rStyle w:val="Bodytext6Spacing3pt"/>
          <w:color w:val="000000"/>
          <w:sz w:val="24"/>
          <w:szCs w:val="24"/>
          <w:lang w:val="en-US"/>
        </w:rPr>
      </w:pPr>
    </w:p>
    <w:p w:rsidR="002C0FD9" w:rsidRPr="00563D60" w:rsidRDefault="002C0FD9" w:rsidP="00563D60">
      <w:pPr>
        <w:pStyle w:val="Bodytext60"/>
        <w:shd w:val="clear" w:color="auto" w:fill="auto"/>
        <w:spacing w:before="0"/>
        <w:ind w:right="143"/>
        <w:rPr>
          <w:sz w:val="32"/>
          <w:szCs w:val="32"/>
        </w:rPr>
      </w:pPr>
      <w:r w:rsidRPr="00563D60">
        <w:rPr>
          <w:rStyle w:val="Bodytext6Spacing3pt"/>
          <w:b/>
          <w:color w:val="000000"/>
          <w:sz w:val="32"/>
          <w:szCs w:val="32"/>
        </w:rPr>
        <w:t>ДОКУМЕНТАЦИЯ</w:t>
      </w:r>
    </w:p>
    <w:p w:rsidR="002C0FD9" w:rsidRDefault="002C0FD9" w:rsidP="00563D60">
      <w:pPr>
        <w:pStyle w:val="Bodytext60"/>
        <w:shd w:val="clear" w:color="auto" w:fill="auto"/>
        <w:spacing w:before="0"/>
        <w:ind w:right="143"/>
        <w:rPr>
          <w:rStyle w:val="Bodytext6"/>
          <w:b/>
          <w:color w:val="000000"/>
          <w:sz w:val="32"/>
          <w:szCs w:val="32"/>
        </w:rPr>
      </w:pPr>
      <w:r w:rsidRPr="00563D60">
        <w:rPr>
          <w:rStyle w:val="Bodytext6Spacing3pt"/>
          <w:b/>
          <w:color w:val="000000"/>
          <w:sz w:val="32"/>
          <w:szCs w:val="32"/>
        </w:rPr>
        <w:t xml:space="preserve">ЗА </w:t>
      </w:r>
      <w:r w:rsidRPr="00563D60">
        <w:rPr>
          <w:rStyle w:val="Bodytext6"/>
          <w:b/>
          <w:color w:val="000000"/>
          <w:sz w:val="32"/>
          <w:szCs w:val="32"/>
        </w:rPr>
        <w:t xml:space="preserve">УЧАСТИЕ В ПУБЛИЧНО СЪСТЕЗАНИЕ ПО ЗОП ЗА ВЪЗЛАГАНЕ НА ОБЩЕСТВЕНА ПОРЪЧКА С ПРЕДМЕТ: </w:t>
      </w:r>
    </w:p>
    <w:p w:rsidR="007F5ADD" w:rsidRPr="007F5ADD" w:rsidRDefault="007F5ADD" w:rsidP="00563D60">
      <w:pPr>
        <w:pStyle w:val="Bodytext60"/>
        <w:shd w:val="clear" w:color="auto" w:fill="auto"/>
        <w:spacing w:before="0"/>
        <w:ind w:right="143"/>
        <w:rPr>
          <w:rStyle w:val="Bodytext6"/>
          <w:b/>
          <w:caps/>
          <w:color w:val="000000"/>
          <w:sz w:val="32"/>
          <w:szCs w:val="32"/>
        </w:rPr>
      </w:pPr>
      <w:r w:rsidRPr="007F5ADD">
        <w:rPr>
          <w:rStyle w:val="Bodytext2Bold"/>
          <w:b/>
          <w:caps/>
          <w:color w:val="000000"/>
        </w:rPr>
        <w:t>„Доставка на резервни части за талига БТ-6 за ремонт на планираните вагони през 201</w:t>
      </w:r>
      <w:r w:rsidR="006907D1">
        <w:rPr>
          <w:rStyle w:val="Bodytext2Bold"/>
          <w:b/>
          <w:caps/>
          <w:color w:val="000000"/>
          <w:lang w:val="en-US"/>
        </w:rPr>
        <w:t>7</w:t>
      </w:r>
      <w:r w:rsidRPr="007F5ADD">
        <w:rPr>
          <w:rStyle w:val="Bodytext2Bold"/>
          <w:b/>
          <w:caps/>
          <w:color w:val="000000"/>
        </w:rPr>
        <w:t xml:space="preserve"> г.”</w:t>
      </w:r>
    </w:p>
    <w:p w:rsidR="002C0FD9" w:rsidRPr="00563D60" w:rsidRDefault="002C0FD9" w:rsidP="00563D60">
      <w:pPr>
        <w:pStyle w:val="Bodytext60"/>
        <w:shd w:val="clear" w:color="auto" w:fill="auto"/>
        <w:spacing w:before="0"/>
        <w:ind w:right="143"/>
        <w:rPr>
          <w:sz w:val="32"/>
          <w:szCs w:val="32"/>
        </w:rPr>
      </w:pPr>
    </w:p>
    <w:p w:rsidR="002C0FD9" w:rsidRPr="00563D60" w:rsidRDefault="002C0FD9" w:rsidP="00563D60">
      <w:pPr>
        <w:pStyle w:val="Bodytext60"/>
        <w:shd w:val="clear" w:color="auto" w:fill="auto"/>
        <w:spacing w:before="0" w:line="274" w:lineRule="exact"/>
        <w:ind w:right="360"/>
        <w:rPr>
          <w:rStyle w:val="Bodytext6"/>
          <w:b/>
          <w:color w:val="000000"/>
          <w:sz w:val="32"/>
          <w:szCs w:val="32"/>
        </w:rPr>
      </w:pPr>
      <w:r w:rsidRPr="00563D60">
        <w:rPr>
          <w:rStyle w:val="Bodytext6"/>
          <w:b/>
          <w:color w:val="000000"/>
          <w:sz w:val="32"/>
          <w:szCs w:val="32"/>
        </w:rPr>
        <w:t>СЪДЪРЖАНИЕ</w:t>
      </w:r>
    </w:p>
    <w:p w:rsidR="002C0FD9" w:rsidRPr="002C0FD9" w:rsidRDefault="002C0FD9" w:rsidP="002C0FD9">
      <w:pPr>
        <w:pStyle w:val="Bodytext60"/>
        <w:shd w:val="clear" w:color="auto" w:fill="auto"/>
        <w:spacing w:before="0" w:line="274" w:lineRule="exact"/>
        <w:ind w:right="360"/>
        <w:rPr>
          <w:sz w:val="24"/>
          <w:szCs w:val="24"/>
        </w:rPr>
      </w:pPr>
    </w:p>
    <w:p w:rsidR="002C0FD9" w:rsidRPr="007E7352" w:rsidRDefault="002C0FD9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656856">
        <w:rPr>
          <w:rStyle w:val="Bodytext2"/>
          <w:color w:val="000000"/>
          <w:sz w:val="24"/>
          <w:szCs w:val="24"/>
        </w:rPr>
        <w:t>Решение №</w:t>
      </w:r>
      <w:r w:rsidR="00983CFD" w:rsidRPr="00656856">
        <w:rPr>
          <w:rStyle w:val="Bodytext2"/>
          <w:color w:val="000000"/>
          <w:sz w:val="24"/>
          <w:szCs w:val="24"/>
        </w:rPr>
        <w:t xml:space="preserve"> 2/06.02</w:t>
      </w:r>
      <w:r w:rsidRPr="00656856">
        <w:rPr>
          <w:rStyle w:val="Bodytext2"/>
          <w:color w:val="000000"/>
          <w:sz w:val="24"/>
          <w:szCs w:val="24"/>
        </w:rPr>
        <w:t>.201</w:t>
      </w:r>
      <w:r w:rsidR="0059278C" w:rsidRPr="00656856">
        <w:rPr>
          <w:rStyle w:val="Bodytext2"/>
          <w:color w:val="000000"/>
          <w:sz w:val="24"/>
          <w:szCs w:val="24"/>
        </w:rPr>
        <w:t>7</w:t>
      </w:r>
      <w:r w:rsidRPr="00656856">
        <w:rPr>
          <w:rStyle w:val="Bodytext2"/>
          <w:color w:val="000000"/>
          <w:sz w:val="24"/>
          <w:szCs w:val="24"/>
        </w:rPr>
        <w:t xml:space="preserve"> г. за </w:t>
      </w:r>
      <w:r w:rsidRPr="00656856">
        <w:rPr>
          <w:rStyle w:val="Bodytext2"/>
          <w:color w:val="000000"/>
          <w:sz w:val="24"/>
          <w:szCs w:val="24"/>
        </w:rPr>
        <w:t>открива</w:t>
      </w:r>
      <w:r w:rsidRPr="00656856">
        <w:rPr>
          <w:rStyle w:val="Bodytext2"/>
          <w:color w:val="000000"/>
          <w:sz w:val="24"/>
          <w:szCs w:val="24"/>
        </w:rPr>
        <w:t>н</w:t>
      </w:r>
      <w:r w:rsidRPr="00656856">
        <w:rPr>
          <w:rStyle w:val="Bodytext2"/>
          <w:color w:val="000000"/>
          <w:sz w:val="24"/>
          <w:szCs w:val="24"/>
        </w:rPr>
        <w:t>е на процедура;</w:t>
      </w:r>
    </w:p>
    <w:p w:rsidR="002C0FD9" w:rsidRPr="007E7352" w:rsidRDefault="006C66B7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38"/>
        </w:tabs>
        <w:ind w:left="400" w:firstLine="380"/>
        <w:rPr>
          <w:rStyle w:val="Bodytext2"/>
          <w:color w:val="000000"/>
          <w:sz w:val="24"/>
          <w:szCs w:val="24"/>
        </w:rPr>
      </w:pPr>
      <w:hyperlink r:id="rId6" w:history="1">
        <w:r w:rsidR="002C0FD9" w:rsidRPr="007E7352">
          <w:rPr>
            <w:rStyle w:val="Bodytext2"/>
            <w:color w:val="000000"/>
            <w:sz w:val="24"/>
            <w:szCs w:val="24"/>
          </w:rPr>
          <w:t>Обявление за поръчка - комунални услуги;</w:t>
        </w:r>
      </w:hyperlink>
    </w:p>
    <w:p w:rsidR="002C0FD9" w:rsidRPr="007E7352" w:rsidRDefault="002C0FD9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38"/>
        </w:tabs>
        <w:ind w:left="400" w:firstLine="380"/>
        <w:rPr>
          <w:rStyle w:val="Bodytext2"/>
          <w:color w:val="000000"/>
          <w:sz w:val="24"/>
          <w:szCs w:val="24"/>
        </w:rPr>
      </w:pPr>
      <w:r w:rsidRPr="007E7352">
        <w:rPr>
          <w:rStyle w:val="Bodytext2"/>
          <w:color w:val="000000"/>
          <w:sz w:val="24"/>
          <w:szCs w:val="24"/>
        </w:rPr>
        <w:t>Указания към участниците за подготовка на офертата;</w:t>
      </w:r>
    </w:p>
    <w:p w:rsidR="00941826" w:rsidRPr="007E7352" w:rsidRDefault="00941826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7E7352">
        <w:rPr>
          <w:rStyle w:val="Bodytext2"/>
          <w:color w:val="000000"/>
          <w:sz w:val="24"/>
          <w:szCs w:val="24"/>
        </w:rPr>
        <w:t xml:space="preserve">Техническа спецификация за производство и доставка на вложки за </w:t>
      </w:r>
      <w:r w:rsidR="00CF621A" w:rsidRPr="007E7352">
        <w:rPr>
          <w:rStyle w:val="Bodytext2"/>
          <w:color w:val="000000"/>
          <w:sz w:val="24"/>
          <w:szCs w:val="24"/>
        </w:rPr>
        <w:t>централен лагер</w:t>
      </w:r>
      <w:r w:rsidRPr="007E7352">
        <w:rPr>
          <w:rStyle w:val="Bodytext2"/>
          <w:color w:val="000000"/>
          <w:sz w:val="24"/>
          <w:szCs w:val="24"/>
        </w:rPr>
        <w:t xml:space="preserve"> – Приложение № </w:t>
      </w:r>
      <w:r w:rsidR="005C2A71" w:rsidRPr="007E7352">
        <w:rPr>
          <w:rStyle w:val="Bodytext2"/>
          <w:color w:val="000000"/>
          <w:sz w:val="24"/>
          <w:szCs w:val="24"/>
        </w:rPr>
        <w:t>1</w:t>
      </w:r>
      <w:r w:rsidRPr="007E7352">
        <w:rPr>
          <w:rStyle w:val="Bodytext2"/>
          <w:color w:val="000000"/>
          <w:sz w:val="24"/>
          <w:szCs w:val="24"/>
        </w:rPr>
        <w:t>;</w:t>
      </w:r>
    </w:p>
    <w:p w:rsidR="005C2A71" w:rsidRPr="007E7352" w:rsidRDefault="005C2A71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7E7352">
        <w:rPr>
          <w:rStyle w:val="Bodytext2"/>
          <w:color w:val="000000"/>
          <w:sz w:val="24"/>
          <w:szCs w:val="24"/>
        </w:rPr>
        <w:t>Техническа спецификация за производство и доставка на вложки триещи з</w:t>
      </w:r>
      <w:r w:rsidR="00C262F0" w:rsidRPr="007E7352">
        <w:rPr>
          <w:rStyle w:val="Bodytext2"/>
          <w:color w:val="000000"/>
          <w:sz w:val="24"/>
          <w:szCs w:val="24"/>
        </w:rPr>
        <w:t>а ела</w:t>
      </w:r>
      <w:r w:rsidRPr="007E7352">
        <w:rPr>
          <w:rStyle w:val="Bodytext2"/>
          <w:color w:val="000000"/>
          <w:sz w:val="24"/>
          <w:szCs w:val="24"/>
        </w:rPr>
        <w:t>стични опори за талиги БТ-6 – Приложение № 2;</w:t>
      </w:r>
    </w:p>
    <w:p w:rsidR="00941826" w:rsidRPr="007E7352" w:rsidRDefault="00941826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7E7352">
        <w:rPr>
          <w:rStyle w:val="Bodytext2"/>
          <w:color w:val="000000"/>
          <w:sz w:val="24"/>
          <w:szCs w:val="24"/>
        </w:rPr>
        <w:t>Техническа спецификация за производство и доставка на притискач и втулка за притискач на талиги БТ-6 (Y25Cs) – Приложение № 3;</w:t>
      </w:r>
    </w:p>
    <w:p w:rsidR="00A25331" w:rsidRPr="007E7352" w:rsidRDefault="00A25331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7E7352">
        <w:rPr>
          <w:rStyle w:val="Bodytext2"/>
          <w:color w:val="000000"/>
          <w:sz w:val="24"/>
          <w:szCs w:val="24"/>
        </w:rPr>
        <w:t>Техническа спецификация за производство и доставка на ограничител (Т-образна планка) за талига БТ-6 – Приложение № 4;</w:t>
      </w:r>
    </w:p>
    <w:p w:rsidR="002C0FD9" w:rsidRPr="007E7352" w:rsidRDefault="002C0FD9" w:rsidP="007E7352">
      <w:pPr>
        <w:pStyle w:val="Bodytext21"/>
        <w:numPr>
          <w:ilvl w:val="0"/>
          <w:numId w:val="3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7E7352">
        <w:rPr>
          <w:rStyle w:val="Bodytext2"/>
          <w:color w:val="000000"/>
          <w:sz w:val="24"/>
          <w:szCs w:val="24"/>
        </w:rPr>
        <w:t>Проект на договор</w:t>
      </w:r>
      <w:r w:rsidR="00C262F0" w:rsidRPr="007E7352">
        <w:rPr>
          <w:rStyle w:val="Bodytext2"/>
          <w:color w:val="000000"/>
          <w:sz w:val="24"/>
          <w:szCs w:val="24"/>
        </w:rPr>
        <w:t xml:space="preserve"> за обособени позиции от № 1 до № 6 - Приложения</w:t>
      </w:r>
      <w:r w:rsidRPr="007E7352">
        <w:rPr>
          <w:rStyle w:val="Bodytext2"/>
          <w:color w:val="000000"/>
          <w:sz w:val="24"/>
          <w:szCs w:val="24"/>
        </w:rPr>
        <w:t xml:space="preserve"> № </w:t>
      </w:r>
      <w:r w:rsidR="005C2A71" w:rsidRPr="007E7352">
        <w:rPr>
          <w:rStyle w:val="Bodytext2"/>
          <w:color w:val="000000"/>
          <w:sz w:val="24"/>
          <w:szCs w:val="24"/>
        </w:rPr>
        <w:t>5</w:t>
      </w:r>
      <w:r w:rsidR="00C262F0" w:rsidRPr="007E7352">
        <w:rPr>
          <w:rStyle w:val="Bodytext2"/>
          <w:color w:val="000000"/>
          <w:sz w:val="24"/>
          <w:szCs w:val="24"/>
        </w:rPr>
        <w:t>.1, 5.2, 5.3, 5.4, 5.5 и 5.6</w:t>
      </w:r>
      <w:r w:rsidRPr="007E7352">
        <w:rPr>
          <w:rStyle w:val="Bodytext2"/>
          <w:color w:val="000000"/>
          <w:sz w:val="24"/>
          <w:szCs w:val="24"/>
        </w:rPr>
        <w:t>;</w:t>
      </w:r>
    </w:p>
    <w:p w:rsidR="007E7352" w:rsidRPr="007E7352" w:rsidRDefault="007E7352" w:rsidP="007E7352">
      <w:pPr>
        <w:pStyle w:val="Bodytext21"/>
        <w:shd w:val="clear" w:color="auto" w:fill="auto"/>
        <w:tabs>
          <w:tab w:val="left" w:pos="1146"/>
        </w:tabs>
        <w:ind w:left="780" w:firstLine="0"/>
        <w:rPr>
          <w:rStyle w:val="Bodytext2"/>
          <w:color w:val="000000"/>
        </w:rPr>
      </w:pPr>
    </w:p>
    <w:p w:rsidR="002C0FD9" w:rsidRPr="007F5ADD" w:rsidRDefault="002C0FD9" w:rsidP="002C0FD9">
      <w:pPr>
        <w:pStyle w:val="Heading41"/>
        <w:keepNext/>
        <w:keepLines/>
        <w:shd w:val="clear" w:color="auto" w:fill="auto"/>
        <w:spacing w:before="0" w:after="0" w:line="240" w:lineRule="exact"/>
        <w:ind w:left="1140"/>
        <w:rPr>
          <w:b w:val="0"/>
          <w:sz w:val="24"/>
          <w:szCs w:val="24"/>
        </w:rPr>
      </w:pPr>
      <w:bookmarkStart w:id="1" w:name="bookmark1"/>
      <w:r w:rsidRPr="007E7352">
        <w:rPr>
          <w:rStyle w:val="Heading40"/>
          <w:b/>
          <w:bCs/>
          <w:color w:val="000000"/>
          <w:sz w:val="24"/>
          <w:szCs w:val="24"/>
        </w:rPr>
        <w:t>Образци</w:t>
      </w:r>
      <w:r w:rsidR="006C10BC" w:rsidRPr="007E7352">
        <w:rPr>
          <w:rStyle w:val="Heading40"/>
          <w:b/>
          <w:bCs/>
          <w:color w:val="000000"/>
          <w:sz w:val="24"/>
          <w:szCs w:val="24"/>
        </w:rPr>
        <w:t>, както следва</w:t>
      </w:r>
      <w:r w:rsidRPr="007E7352">
        <w:rPr>
          <w:rStyle w:val="Heading40"/>
          <w:b/>
          <w:bCs/>
          <w:color w:val="000000"/>
          <w:sz w:val="24"/>
          <w:szCs w:val="24"/>
        </w:rPr>
        <w:t>:</w:t>
      </w:r>
      <w:bookmarkEnd w:id="1"/>
    </w:p>
    <w:p w:rsidR="002C0FD9" w:rsidRPr="00C262F0" w:rsidRDefault="002C0FD9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2C0FD9">
        <w:rPr>
          <w:rStyle w:val="Bodytext2"/>
          <w:color w:val="000000"/>
          <w:sz w:val="24"/>
          <w:szCs w:val="24"/>
        </w:rPr>
        <w:t>Опис на представените документи - Приложение №</w:t>
      </w:r>
      <w:r w:rsidR="005C2A71">
        <w:rPr>
          <w:rStyle w:val="Bodytext2"/>
          <w:color w:val="000000"/>
          <w:sz w:val="24"/>
          <w:szCs w:val="24"/>
        </w:rPr>
        <w:t xml:space="preserve"> 6</w:t>
      </w:r>
      <w:r w:rsidRPr="002C0FD9">
        <w:rPr>
          <w:rStyle w:val="Bodytext2"/>
          <w:color w:val="000000"/>
          <w:sz w:val="24"/>
          <w:szCs w:val="24"/>
        </w:rPr>
        <w:t>;</w:t>
      </w:r>
    </w:p>
    <w:p w:rsidR="002C0FD9" w:rsidRPr="002C0FD9" w:rsidRDefault="002C0FD9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2C0FD9">
        <w:rPr>
          <w:rStyle w:val="Bodytext2"/>
          <w:color w:val="000000"/>
          <w:sz w:val="24"/>
          <w:szCs w:val="24"/>
        </w:rPr>
        <w:t>Единен европейски документ за обществени поръчки /ЕЕДОП/ - Приложение №</w:t>
      </w:r>
      <w:r w:rsidR="005C2A71">
        <w:rPr>
          <w:rStyle w:val="Bodytext2"/>
          <w:color w:val="000000"/>
          <w:sz w:val="24"/>
          <w:szCs w:val="24"/>
        </w:rPr>
        <w:t xml:space="preserve"> 7</w:t>
      </w:r>
      <w:r w:rsidRPr="002C0FD9">
        <w:rPr>
          <w:rStyle w:val="Bodytext2"/>
          <w:color w:val="000000"/>
          <w:sz w:val="24"/>
          <w:szCs w:val="24"/>
        </w:rPr>
        <w:t>;</w:t>
      </w:r>
    </w:p>
    <w:p w:rsidR="002C0FD9" w:rsidRPr="002C0FD9" w:rsidRDefault="002C0FD9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2C0FD9">
        <w:rPr>
          <w:rStyle w:val="Bodytext2"/>
          <w:color w:val="000000"/>
          <w:sz w:val="24"/>
          <w:szCs w:val="24"/>
        </w:rPr>
        <w:t>Декларация по чл.</w:t>
      </w:r>
      <w:r w:rsidR="001A7CEE" w:rsidRPr="00C262F0">
        <w:rPr>
          <w:rStyle w:val="Bodytext2"/>
          <w:color w:val="000000"/>
          <w:sz w:val="24"/>
          <w:szCs w:val="24"/>
        </w:rPr>
        <w:t>3</w:t>
      </w:r>
      <w:r w:rsidRPr="002C0FD9">
        <w:rPr>
          <w:rStyle w:val="Bodytext2"/>
          <w:color w:val="000000"/>
          <w:sz w:val="24"/>
          <w:szCs w:val="24"/>
        </w:rPr>
        <w:t>, т.8 и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— Приложение №</w:t>
      </w:r>
      <w:r w:rsidR="005C2A71">
        <w:rPr>
          <w:rStyle w:val="Bodytext2"/>
          <w:color w:val="000000"/>
          <w:sz w:val="24"/>
          <w:szCs w:val="24"/>
        </w:rPr>
        <w:t xml:space="preserve"> 8</w:t>
      </w:r>
      <w:r w:rsidRPr="002C0FD9">
        <w:rPr>
          <w:rStyle w:val="Bodytext2"/>
          <w:color w:val="000000"/>
          <w:sz w:val="24"/>
          <w:szCs w:val="24"/>
        </w:rPr>
        <w:t>;</w:t>
      </w:r>
    </w:p>
    <w:p w:rsidR="002C0FD9" w:rsidRPr="002C0FD9" w:rsidRDefault="002C0FD9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2C0FD9">
        <w:rPr>
          <w:rStyle w:val="Bodytext2"/>
          <w:color w:val="000000"/>
          <w:sz w:val="24"/>
          <w:szCs w:val="24"/>
        </w:rPr>
        <w:t>Декларация за липса на свързаност с друг участник в процедурата в съответствие с чл.101, ал.11 от ЗОП - Приложение №</w:t>
      </w:r>
      <w:r w:rsidR="005C2A71">
        <w:rPr>
          <w:rStyle w:val="Bodytext2"/>
          <w:color w:val="000000"/>
          <w:sz w:val="24"/>
          <w:szCs w:val="24"/>
        </w:rPr>
        <w:t xml:space="preserve"> 9</w:t>
      </w:r>
      <w:r w:rsidRPr="002C0FD9">
        <w:rPr>
          <w:rStyle w:val="Bodytext2"/>
          <w:color w:val="000000"/>
          <w:sz w:val="24"/>
          <w:szCs w:val="24"/>
        </w:rPr>
        <w:t>;</w:t>
      </w:r>
    </w:p>
    <w:p w:rsidR="002C0FD9" w:rsidRPr="002C0FD9" w:rsidRDefault="002C0FD9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 w:rsidRPr="002C0FD9">
        <w:rPr>
          <w:rStyle w:val="Bodytext2"/>
          <w:color w:val="000000"/>
          <w:sz w:val="24"/>
          <w:szCs w:val="24"/>
        </w:rPr>
        <w:t>Декларация за съгласие за участие като подизпълнител - Приложение №</w:t>
      </w:r>
      <w:r w:rsidR="005C2A71">
        <w:rPr>
          <w:rStyle w:val="Bodytext2"/>
          <w:color w:val="000000"/>
          <w:sz w:val="24"/>
          <w:szCs w:val="24"/>
        </w:rPr>
        <w:t xml:space="preserve"> 10</w:t>
      </w:r>
      <w:r w:rsidRPr="002C0FD9">
        <w:rPr>
          <w:rStyle w:val="Bodytext2"/>
          <w:color w:val="000000"/>
          <w:sz w:val="24"/>
          <w:szCs w:val="24"/>
        </w:rPr>
        <w:t>;</w:t>
      </w:r>
    </w:p>
    <w:p w:rsidR="002C0FD9" w:rsidRPr="002C0FD9" w:rsidRDefault="006363DF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Т</w:t>
      </w:r>
      <w:r w:rsidR="001A7CEE" w:rsidRPr="002C0FD9">
        <w:rPr>
          <w:rStyle w:val="Bodytext2"/>
          <w:color w:val="000000"/>
          <w:sz w:val="24"/>
          <w:szCs w:val="24"/>
        </w:rPr>
        <w:t>ехническо предложение</w:t>
      </w:r>
      <w:r w:rsidR="002C0FD9" w:rsidRPr="002C0FD9">
        <w:rPr>
          <w:rStyle w:val="Bodytext2"/>
          <w:color w:val="000000"/>
          <w:sz w:val="24"/>
          <w:szCs w:val="24"/>
        </w:rPr>
        <w:t xml:space="preserve"> за обособени позиции от № </w:t>
      </w:r>
      <w:r w:rsidR="001A7CEE" w:rsidRPr="00C262F0">
        <w:rPr>
          <w:rStyle w:val="Bodytext2"/>
          <w:color w:val="000000"/>
          <w:sz w:val="24"/>
          <w:szCs w:val="24"/>
        </w:rPr>
        <w:t xml:space="preserve">1 </w:t>
      </w:r>
      <w:r w:rsidR="002C0FD9" w:rsidRPr="002C0FD9">
        <w:rPr>
          <w:rStyle w:val="Bodytext2"/>
          <w:color w:val="000000"/>
          <w:sz w:val="24"/>
          <w:szCs w:val="24"/>
        </w:rPr>
        <w:t xml:space="preserve">до № </w:t>
      </w:r>
      <w:r w:rsidR="005C2A71">
        <w:rPr>
          <w:rStyle w:val="Bodytext2"/>
          <w:color w:val="000000"/>
          <w:sz w:val="24"/>
          <w:szCs w:val="24"/>
        </w:rPr>
        <w:t>6</w:t>
      </w:r>
      <w:r w:rsidR="002C0FD9" w:rsidRPr="002C0FD9">
        <w:rPr>
          <w:rStyle w:val="Bodytext2"/>
          <w:color w:val="000000"/>
          <w:sz w:val="24"/>
          <w:szCs w:val="24"/>
        </w:rPr>
        <w:t xml:space="preserve"> - Приложения №№ </w:t>
      </w:r>
      <w:r w:rsidR="005C2A71">
        <w:rPr>
          <w:rStyle w:val="Bodytext2"/>
          <w:color w:val="000000"/>
          <w:sz w:val="24"/>
          <w:szCs w:val="24"/>
        </w:rPr>
        <w:t>11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1, </w:t>
      </w:r>
      <w:r w:rsidR="005C2A71">
        <w:rPr>
          <w:rStyle w:val="Bodytext2"/>
          <w:color w:val="000000"/>
          <w:sz w:val="24"/>
          <w:szCs w:val="24"/>
        </w:rPr>
        <w:t>11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2, </w:t>
      </w:r>
      <w:r w:rsidR="005C2A71">
        <w:rPr>
          <w:rStyle w:val="Bodytext2"/>
          <w:color w:val="000000"/>
          <w:sz w:val="24"/>
          <w:szCs w:val="24"/>
        </w:rPr>
        <w:t>11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3, </w:t>
      </w:r>
      <w:r w:rsidR="005C2A71">
        <w:rPr>
          <w:rStyle w:val="Bodytext2"/>
          <w:color w:val="000000"/>
          <w:sz w:val="24"/>
          <w:szCs w:val="24"/>
        </w:rPr>
        <w:t>11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4, </w:t>
      </w:r>
      <w:r w:rsidR="005C2A71">
        <w:rPr>
          <w:rStyle w:val="Bodytext2"/>
          <w:color w:val="000000"/>
          <w:sz w:val="24"/>
          <w:szCs w:val="24"/>
        </w:rPr>
        <w:t>11</w:t>
      </w:r>
      <w:r w:rsidR="001A7CEE">
        <w:rPr>
          <w:rStyle w:val="Bodytext2"/>
          <w:color w:val="000000"/>
          <w:sz w:val="24"/>
          <w:szCs w:val="24"/>
        </w:rPr>
        <w:t>.</w:t>
      </w:r>
      <w:r w:rsidR="005C2A71">
        <w:rPr>
          <w:rStyle w:val="Bodytext2"/>
          <w:color w:val="000000"/>
          <w:sz w:val="24"/>
          <w:szCs w:val="24"/>
        </w:rPr>
        <w:t>5 и</w:t>
      </w:r>
      <w:r w:rsidR="002C0FD9" w:rsidRPr="002C0FD9">
        <w:rPr>
          <w:rStyle w:val="Bodytext2"/>
          <w:color w:val="000000"/>
          <w:sz w:val="24"/>
          <w:szCs w:val="24"/>
        </w:rPr>
        <w:t xml:space="preserve"> </w:t>
      </w:r>
      <w:r w:rsidR="005C2A71">
        <w:rPr>
          <w:rStyle w:val="Bodytext2"/>
          <w:color w:val="000000"/>
          <w:sz w:val="24"/>
          <w:szCs w:val="24"/>
        </w:rPr>
        <w:t>11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>6;</w:t>
      </w:r>
    </w:p>
    <w:p w:rsidR="005C2A71" w:rsidRDefault="006363DF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Ц</w:t>
      </w:r>
      <w:r w:rsidR="002C0FD9" w:rsidRPr="002C0FD9">
        <w:rPr>
          <w:rStyle w:val="Bodytext2"/>
          <w:color w:val="000000"/>
          <w:sz w:val="24"/>
          <w:szCs w:val="24"/>
        </w:rPr>
        <w:t xml:space="preserve">еново предложение за обособени позиции от № </w:t>
      </w:r>
      <w:r w:rsidR="001A7CEE" w:rsidRPr="00C262F0">
        <w:rPr>
          <w:rStyle w:val="Bodytext2"/>
          <w:color w:val="000000"/>
          <w:sz w:val="24"/>
          <w:szCs w:val="24"/>
        </w:rPr>
        <w:t xml:space="preserve">1 </w:t>
      </w:r>
      <w:r w:rsidR="002C0FD9" w:rsidRPr="002C0FD9">
        <w:rPr>
          <w:rStyle w:val="Bodytext2"/>
          <w:color w:val="000000"/>
          <w:sz w:val="24"/>
          <w:szCs w:val="24"/>
        </w:rPr>
        <w:t xml:space="preserve">до № </w:t>
      </w:r>
      <w:r w:rsidR="005C2A71">
        <w:rPr>
          <w:rStyle w:val="Bodytext2"/>
          <w:color w:val="000000"/>
          <w:sz w:val="24"/>
          <w:szCs w:val="24"/>
        </w:rPr>
        <w:t>6</w:t>
      </w:r>
      <w:r w:rsidR="002C0FD9" w:rsidRPr="002C0FD9">
        <w:rPr>
          <w:rStyle w:val="Bodytext2"/>
          <w:color w:val="000000"/>
          <w:sz w:val="24"/>
          <w:szCs w:val="24"/>
        </w:rPr>
        <w:t xml:space="preserve"> - Приложени</w:t>
      </w:r>
      <w:r w:rsidR="00B22683">
        <w:rPr>
          <w:rStyle w:val="Bodytext2"/>
          <w:color w:val="000000"/>
          <w:sz w:val="24"/>
          <w:szCs w:val="24"/>
        </w:rPr>
        <w:t>я</w:t>
      </w:r>
      <w:r w:rsidR="002C0FD9" w:rsidRPr="002C0FD9">
        <w:rPr>
          <w:rStyle w:val="Bodytext2"/>
          <w:color w:val="000000"/>
          <w:sz w:val="24"/>
          <w:szCs w:val="24"/>
        </w:rPr>
        <w:t xml:space="preserve"> №№ </w:t>
      </w:r>
      <w:r w:rsidR="005C2A71">
        <w:rPr>
          <w:rStyle w:val="Bodytext2"/>
          <w:color w:val="000000"/>
          <w:sz w:val="24"/>
          <w:szCs w:val="24"/>
        </w:rPr>
        <w:t>12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1, </w:t>
      </w:r>
      <w:r w:rsidR="005C2A71">
        <w:rPr>
          <w:rStyle w:val="Bodytext2"/>
          <w:color w:val="000000"/>
          <w:sz w:val="24"/>
          <w:szCs w:val="24"/>
        </w:rPr>
        <w:t>12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2, </w:t>
      </w:r>
      <w:r w:rsidR="005C2A71">
        <w:rPr>
          <w:rStyle w:val="Bodytext2"/>
          <w:color w:val="000000"/>
          <w:sz w:val="24"/>
          <w:szCs w:val="24"/>
        </w:rPr>
        <w:t>12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3, </w:t>
      </w:r>
      <w:r w:rsidR="005C2A71">
        <w:rPr>
          <w:rStyle w:val="Bodytext2"/>
          <w:color w:val="000000"/>
          <w:sz w:val="24"/>
          <w:szCs w:val="24"/>
        </w:rPr>
        <w:t>12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 xml:space="preserve">4, </w:t>
      </w:r>
      <w:r w:rsidR="005C2A71">
        <w:rPr>
          <w:rStyle w:val="Bodytext2"/>
          <w:color w:val="000000"/>
          <w:sz w:val="24"/>
          <w:szCs w:val="24"/>
        </w:rPr>
        <w:t>12</w:t>
      </w:r>
      <w:r w:rsidR="001A7CEE">
        <w:rPr>
          <w:rStyle w:val="Bodytext2"/>
          <w:color w:val="000000"/>
          <w:sz w:val="24"/>
          <w:szCs w:val="24"/>
        </w:rPr>
        <w:t>.</w:t>
      </w:r>
      <w:r w:rsidR="005C2A71">
        <w:rPr>
          <w:rStyle w:val="Bodytext2"/>
          <w:color w:val="000000"/>
          <w:sz w:val="24"/>
          <w:szCs w:val="24"/>
        </w:rPr>
        <w:t>5 и 12</w:t>
      </w:r>
      <w:r w:rsidR="001A7CEE">
        <w:rPr>
          <w:rStyle w:val="Bodytext2"/>
          <w:color w:val="000000"/>
          <w:sz w:val="24"/>
          <w:szCs w:val="24"/>
        </w:rPr>
        <w:t>.</w:t>
      </w:r>
      <w:r w:rsidR="002C0FD9" w:rsidRPr="002C0FD9">
        <w:rPr>
          <w:rStyle w:val="Bodytext2"/>
          <w:color w:val="000000"/>
          <w:sz w:val="24"/>
          <w:szCs w:val="24"/>
        </w:rPr>
        <w:t>6</w:t>
      </w:r>
      <w:r w:rsidR="005C2A71">
        <w:rPr>
          <w:rStyle w:val="Bodytext2"/>
          <w:color w:val="000000"/>
          <w:sz w:val="24"/>
          <w:szCs w:val="24"/>
        </w:rPr>
        <w:t>;</w:t>
      </w:r>
    </w:p>
    <w:p w:rsidR="00B933C0" w:rsidRDefault="006363DF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 xml:space="preserve">Декларация по чл.102, ал.1 от ЗОП </w:t>
      </w:r>
      <w:r w:rsidR="00B933C0">
        <w:rPr>
          <w:rStyle w:val="Bodytext2"/>
          <w:color w:val="000000"/>
          <w:sz w:val="24"/>
          <w:szCs w:val="24"/>
        </w:rPr>
        <w:t xml:space="preserve"> </w:t>
      </w:r>
      <w:r>
        <w:rPr>
          <w:rStyle w:val="Bodytext2"/>
          <w:color w:val="000000"/>
          <w:sz w:val="24"/>
          <w:szCs w:val="24"/>
        </w:rPr>
        <w:t>- Приложение № 13;</w:t>
      </w:r>
    </w:p>
    <w:p w:rsidR="006363DF" w:rsidRDefault="006363DF" w:rsidP="007E7352">
      <w:pPr>
        <w:pStyle w:val="Bodytext21"/>
        <w:numPr>
          <w:ilvl w:val="0"/>
          <w:numId w:val="4"/>
        </w:numPr>
        <w:shd w:val="clear" w:color="auto" w:fill="auto"/>
        <w:tabs>
          <w:tab w:val="left" w:pos="1146"/>
        </w:tabs>
        <w:ind w:left="400" w:firstLine="380"/>
        <w:rPr>
          <w:rStyle w:val="Bodytext2"/>
          <w:color w:val="00000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Банкова гаранция за изпълнение – Приложение № 14;</w:t>
      </w:r>
    </w:p>
    <w:sectPr w:rsidR="006363DF" w:rsidSect="0025322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762CED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66B44C22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68AC563C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FD9"/>
    <w:rsid w:val="00027869"/>
    <w:rsid w:val="00092C78"/>
    <w:rsid w:val="00112E07"/>
    <w:rsid w:val="00141318"/>
    <w:rsid w:val="001A7CEE"/>
    <w:rsid w:val="00253227"/>
    <w:rsid w:val="002C0FD9"/>
    <w:rsid w:val="0037747D"/>
    <w:rsid w:val="00563D60"/>
    <w:rsid w:val="0059278C"/>
    <w:rsid w:val="005C2A71"/>
    <w:rsid w:val="006363DF"/>
    <w:rsid w:val="00656856"/>
    <w:rsid w:val="006907D1"/>
    <w:rsid w:val="006A5444"/>
    <w:rsid w:val="006C10BC"/>
    <w:rsid w:val="006C66B7"/>
    <w:rsid w:val="0073496A"/>
    <w:rsid w:val="007E7352"/>
    <w:rsid w:val="007F5ADD"/>
    <w:rsid w:val="00822D24"/>
    <w:rsid w:val="008D38DE"/>
    <w:rsid w:val="00941826"/>
    <w:rsid w:val="00962E88"/>
    <w:rsid w:val="00983CFD"/>
    <w:rsid w:val="009E0565"/>
    <w:rsid w:val="00A25331"/>
    <w:rsid w:val="00A34466"/>
    <w:rsid w:val="00A443B7"/>
    <w:rsid w:val="00B22683"/>
    <w:rsid w:val="00B933C0"/>
    <w:rsid w:val="00B94F90"/>
    <w:rsid w:val="00C262F0"/>
    <w:rsid w:val="00C657B5"/>
    <w:rsid w:val="00CF621A"/>
    <w:rsid w:val="00E43008"/>
    <w:rsid w:val="00EE7B3E"/>
    <w:rsid w:val="00F0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uiPriority w:val="99"/>
    <w:locked/>
    <w:rsid w:val="002C0FD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6Spacing3pt">
    <w:name w:val="Body text (6) + Spacing 3 pt"/>
    <w:basedOn w:val="Bodytext6"/>
    <w:uiPriority w:val="99"/>
    <w:rsid w:val="002C0FD9"/>
    <w:rPr>
      <w:spacing w:val="70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C0FD9"/>
    <w:rPr>
      <w:rFonts w:ascii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DefaultParagraphFont"/>
    <w:link w:val="Heading41"/>
    <w:uiPriority w:val="99"/>
    <w:locked/>
    <w:rsid w:val="002C0F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40">
    <w:name w:val="Heading #4"/>
    <w:basedOn w:val="Heading4"/>
    <w:uiPriority w:val="99"/>
    <w:rsid w:val="002C0FD9"/>
    <w:rPr>
      <w:u w:val="single"/>
    </w:rPr>
  </w:style>
  <w:style w:type="paragraph" w:customStyle="1" w:styleId="Bodytext21">
    <w:name w:val="Body text (2)1"/>
    <w:basedOn w:val="Normal"/>
    <w:link w:val="Bodytext2"/>
    <w:uiPriority w:val="99"/>
    <w:rsid w:val="002C0FD9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</w:rPr>
  </w:style>
  <w:style w:type="paragraph" w:customStyle="1" w:styleId="Bodytext60">
    <w:name w:val="Body text (6)"/>
    <w:basedOn w:val="Normal"/>
    <w:link w:val="Bodytext6"/>
    <w:uiPriority w:val="99"/>
    <w:rsid w:val="002C0FD9"/>
    <w:pPr>
      <w:widowControl w:val="0"/>
      <w:shd w:val="clear" w:color="auto" w:fill="FFFFFF"/>
      <w:spacing w:before="540" w:after="0" w:line="342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Heading41">
    <w:name w:val="Heading #41"/>
    <w:basedOn w:val="Normal"/>
    <w:link w:val="Heading4"/>
    <w:uiPriority w:val="99"/>
    <w:rsid w:val="002C0FD9"/>
    <w:pPr>
      <w:widowControl w:val="0"/>
      <w:shd w:val="clear" w:color="auto" w:fill="FFFFFF"/>
      <w:spacing w:before="240" w:after="360" w:line="240" w:lineRule="atLeast"/>
      <w:outlineLvl w:val="3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D9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basedOn w:val="Bodytext2"/>
    <w:uiPriority w:val="99"/>
    <w:rsid w:val="007F5ADD"/>
    <w:rPr>
      <w:b/>
      <w:bCs/>
      <w:u w:val="none"/>
    </w:rPr>
  </w:style>
  <w:style w:type="paragraph" w:styleId="ListParagraph">
    <w:name w:val="List Paragraph"/>
    <w:basedOn w:val="Normal"/>
    <w:uiPriority w:val="34"/>
    <w:qFormat/>
    <w:rsid w:val="00636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ng/form.php?class=F05_2014&amp;id=770969&amp;mode=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13</cp:revision>
  <cp:lastPrinted>2017-01-13T09:41:00Z</cp:lastPrinted>
  <dcterms:created xsi:type="dcterms:W3CDTF">2016-11-15T09:37:00Z</dcterms:created>
  <dcterms:modified xsi:type="dcterms:W3CDTF">2017-02-06T15:25:00Z</dcterms:modified>
</cp:coreProperties>
</file>