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393935"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3978C8">
        <w:rPr>
          <w:b/>
          <w:color w:val="000000"/>
          <w:sz w:val="24"/>
          <w:szCs w:val="24"/>
          <w:lang w:val="bg-BG"/>
        </w:rPr>
        <w:t>10</w:t>
      </w:r>
      <w:r w:rsidRPr="00393935">
        <w:rPr>
          <w:b/>
          <w:sz w:val="24"/>
          <w:szCs w:val="24"/>
          <w:lang w:val="ru-RU"/>
        </w:rPr>
        <w:t xml:space="preserve">                                                                                                                  </w:t>
      </w:r>
      <w:r w:rsidR="00393935">
        <w:rPr>
          <w:b/>
          <w:sz w:val="24"/>
          <w:szCs w:val="24"/>
          <w:lang w:val="ru-RU"/>
        </w:rPr>
        <w:t xml:space="preserve">                               </w:t>
      </w: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7549C2" w:rsidRDefault="00C83A47" w:rsidP="00B41D2C">
      <w:pPr>
        <w:pStyle w:val="Footer"/>
        <w:jc w:val="both"/>
        <w:rPr>
          <w:b/>
          <w:color w:val="000000"/>
          <w:sz w:val="24"/>
          <w:szCs w:val="24"/>
          <w:lang w:val="bg-BG"/>
        </w:rPr>
      </w:pPr>
      <w:r w:rsidRPr="0056392D">
        <w:rPr>
          <w:rFonts w:ascii="Times New Roman" w:hAnsi="Times New Roman" w:cs="Times New Roman"/>
          <w:sz w:val="24"/>
          <w:szCs w:val="24"/>
          <w:lang w:val="bg-BG"/>
        </w:rPr>
        <w:t>ЕГН: ........................................,</w:t>
      </w:r>
      <w:r>
        <w:rPr>
          <w:rFonts w:ascii="Times New Roman" w:hAnsi="Times New Roman" w:cs="Times New Roman"/>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p>
    <w:p w:rsidR="007549C2" w:rsidRDefault="007549C2" w:rsidP="00C83A47">
      <w:pPr>
        <w:ind w:firstLine="540"/>
        <w:jc w:val="both"/>
        <w:rPr>
          <w:b/>
          <w:color w:val="000000"/>
          <w:sz w:val="24"/>
          <w:szCs w:val="24"/>
          <w:lang w:val="bg-BG"/>
        </w:rPr>
      </w:pPr>
    </w:p>
    <w:p w:rsidR="00C83A47" w:rsidRPr="00EB243F" w:rsidRDefault="007549C2" w:rsidP="007549C2">
      <w:pPr>
        <w:jc w:val="both"/>
        <w:rPr>
          <w:b/>
          <w:sz w:val="24"/>
          <w:szCs w:val="24"/>
          <w:lang w:val="bg-BG"/>
        </w:rPr>
      </w:pPr>
      <w:r w:rsidRPr="00EB243F">
        <w:rPr>
          <w:b/>
          <w:sz w:val="24"/>
          <w:szCs w:val="24"/>
          <w:lang w:val="bg-BG"/>
        </w:rPr>
        <w:t xml:space="preserve">в изпълнение на чл. 192, ал. 3 от ЗОП и в съответствие с изискванията на Възложителя </w:t>
      </w:r>
      <w:r w:rsidRPr="00EB243F">
        <w:rPr>
          <w:b/>
          <w:sz w:val="24"/>
          <w:szCs w:val="24"/>
          <w:lang w:val="ru-RU"/>
        </w:rPr>
        <w:t xml:space="preserve">при възлагане на обществена поръчка чрез събиране на оферти с обява </w:t>
      </w:r>
      <w:r w:rsidR="0001691D" w:rsidRPr="00EB243F">
        <w:rPr>
          <w:b/>
          <w:position w:val="8"/>
          <w:sz w:val="24"/>
          <w:szCs w:val="24"/>
        </w:rPr>
        <w:t>по реда на Глава двадесет и шеста от Закона за обществените поръчки (ЗОП)</w:t>
      </w:r>
      <w:r w:rsidR="0001691D" w:rsidRPr="00EB243F">
        <w:rPr>
          <w:position w:val="8"/>
          <w:sz w:val="24"/>
          <w:szCs w:val="24"/>
          <w:lang w:val="bg-BG"/>
        </w:rPr>
        <w:t xml:space="preserve"> </w:t>
      </w:r>
      <w:r w:rsidR="0001691D" w:rsidRPr="00EB243F">
        <w:rPr>
          <w:b/>
          <w:position w:val="8"/>
          <w:sz w:val="24"/>
          <w:szCs w:val="24"/>
          <w:lang w:val="bg-BG"/>
        </w:rPr>
        <w:t>с</w:t>
      </w:r>
      <w:r w:rsidRPr="00EB243F">
        <w:rPr>
          <w:b/>
          <w:sz w:val="24"/>
          <w:szCs w:val="24"/>
          <w:lang w:val="bg-BG"/>
        </w:rPr>
        <w:t xml:space="preserve"> предмет:</w:t>
      </w:r>
      <w:r w:rsidR="005A7820">
        <w:rPr>
          <w:b/>
          <w:sz w:val="24"/>
          <w:szCs w:val="24"/>
          <w:lang w:val="bg-BG"/>
        </w:rPr>
        <w:t xml:space="preserve"> </w:t>
      </w:r>
      <w:r w:rsidR="00321F6F">
        <w:rPr>
          <w:b/>
          <w:color w:val="000000"/>
          <w:sz w:val="24"/>
          <w:szCs w:val="24"/>
          <w:shd w:val="clear" w:color="auto" w:fill="FFFFFF"/>
        </w:rPr>
        <w:t>„Доставка</w:t>
      </w:r>
      <w:r w:rsidR="00321F6F">
        <w:rPr>
          <w:b/>
          <w:color w:val="000000"/>
          <w:sz w:val="24"/>
          <w:szCs w:val="24"/>
          <w:shd w:val="clear" w:color="auto" w:fill="FFFFFF"/>
          <w:lang w:val="bg-BG"/>
        </w:rPr>
        <w:t xml:space="preserve"> на хартия, хартия, хартиени изделия и канцеларски материали за нуждите на </w:t>
      </w:r>
      <w:r w:rsidR="00321F6F">
        <w:rPr>
          <w:b/>
          <w:sz w:val="24"/>
          <w:szCs w:val="24"/>
        </w:rPr>
        <w:t xml:space="preserve">“БДЖ – Пътнически </w:t>
      </w:r>
      <w:r w:rsidR="00321F6F">
        <w:rPr>
          <w:b/>
          <w:sz w:val="24"/>
          <w:szCs w:val="24"/>
          <w:lang w:val="bg-BG"/>
        </w:rPr>
        <w:t>п</w:t>
      </w:r>
      <w:r w:rsidR="00321F6F">
        <w:rPr>
          <w:b/>
          <w:sz w:val="24"/>
          <w:szCs w:val="24"/>
        </w:rPr>
        <w:t>ревози” ЕООД</w:t>
      </w:r>
      <w:r w:rsidR="00321F6F">
        <w:rPr>
          <w:b/>
          <w:sz w:val="24"/>
          <w:szCs w:val="24"/>
          <w:lang w:val="bg-BG"/>
        </w:rPr>
        <w:t xml:space="preserve"> за едногодишен период” </w:t>
      </w:r>
      <w:r w:rsidR="00EA54CA">
        <w:rPr>
          <w:b/>
          <w:sz w:val="24"/>
          <w:szCs w:val="24"/>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но размерът на неплатените дължими данъци или соци</w:t>
      </w:r>
      <w:r w:rsidR="00E31E58" w:rsidRPr="00E31E58">
        <w:rPr>
          <w:color w:val="auto"/>
        </w:rPr>
        <w:t>алноосигурителни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1D71EA" w:rsidRDefault="00C83A47" w:rsidP="00C8174E">
      <w:pPr>
        <w:ind w:firstLine="720"/>
        <w:jc w:val="both"/>
        <w:rPr>
          <w:sz w:val="24"/>
          <w:szCs w:val="24"/>
          <w:lang w:val="bg-BG"/>
        </w:rPr>
      </w:pPr>
      <w:r>
        <w:rPr>
          <w:sz w:val="24"/>
          <w:szCs w:val="24"/>
          <w:lang w:val="bg-BG"/>
        </w:rPr>
        <w:lastRenderedPageBreak/>
        <w:t xml:space="preserve">3. </w:t>
      </w:r>
      <w:r w:rsidR="00453333" w:rsidRPr="001D71EA">
        <w:rPr>
          <w:sz w:val="24"/>
          <w:szCs w:val="24"/>
        </w:rPr>
        <w:t>За представляваният от мен участник не е установено</w:t>
      </w:r>
      <w:r w:rsidR="00453333">
        <w:rPr>
          <w:sz w:val="24"/>
          <w:szCs w:val="24"/>
          <w:lang w:val="bg-BG"/>
        </w:rPr>
        <w:t>, че е представи</w:t>
      </w:r>
      <w:r>
        <w:rPr>
          <w:sz w:val="24"/>
          <w:szCs w:val="24"/>
          <w:lang w:val="bg-BG"/>
        </w:rPr>
        <w:t xml:space="preserve">л документ с невярно съдържание, </w:t>
      </w:r>
      <w:r w:rsidRPr="00C8174E">
        <w:rPr>
          <w:sz w:val="24"/>
          <w:szCs w:val="24"/>
          <w:lang w:val="bg-BG"/>
        </w:rPr>
        <w:t>свързан с удостоверяване</w:t>
      </w:r>
      <w:r w:rsidRPr="000209F0">
        <w:rPr>
          <w:sz w:val="24"/>
          <w:szCs w:val="24"/>
          <w:lang w:val="bg-BG"/>
        </w:rPr>
        <w:t xml:space="preserve"> </w:t>
      </w:r>
      <w:r w:rsidR="00C8174E" w:rsidRPr="001D71EA">
        <w:rPr>
          <w:sz w:val="24"/>
          <w:szCs w:val="24"/>
        </w:rPr>
        <w:t>липсата на основания за отстраняване или изпълнението на критериите за подбор</w:t>
      </w:r>
      <w:r w:rsidR="00D9075D" w:rsidRPr="001D71EA">
        <w:rPr>
          <w:sz w:val="24"/>
          <w:szCs w:val="24"/>
          <w:lang w:val="bg-BG"/>
        </w:rPr>
        <w:t>.</w:t>
      </w:r>
    </w:p>
    <w:p w:rsidR="00383BDD" w:rsidRPr="00D9075D" w:rsidRDefault="00383BDD" w:rsidP="00C8174E">
      <w:pPr>
        <w:ind w:firstLine="720"/>
        <w:jc w:val="both"/>
        <w:rPr>
          <w:color w:val="FF0000"/>
          <w:sz w:val="24"/>
          <w:szCs w:val="24"/>
          <w:shd w:val="clear" w:color="auto" w:fill="FEFEFE"/>
          <w:lang w:val="bg-BG"/>
        </w:rPr>
      </w:pPr>
    </w:p>
    <w:p w:rsidR="00DE77B2" w:rsidRPr="001D71EA" w:rsidRDefault="00C83A47" w:rsidP="000209F0">
      <w:pPr>
        <w:ind w:firstLine="720"/>
        <w:jc w:val="both"/>
        <w:rPr>
          <w:sz w:val="24"/>
          <w:szCs w:val="24"/>
          <w:lang w:val="bg-BG"/>
        </w:rPr>
      </w:pPr>
      <w:r>
        <w:rPr>
          <w:sz w:val="24"/>
          <w:szCs w:val="24"/>
          <w:shd w:val="clear" w:color="auto" w:fill="FEFEFE"/>
          <w:lang w:val="bg-BG"/>
        </w:rPr>
        <w:t xml:space="preserve">4. </w:t>
      </w:r>
      <w:r w:rsidR="00453333" w:rsidRPr="001D71EA">
        <w:rPr>
          <w:sz w:val="24"/>
          <w:szCs w:val="24"/>
        </w:rPr>
        <w:t>За представляваният от мен участник не е установено</w:t>
      </w:r>
      <w:r w:rsidR="00453333">
        <w:rPr>
          <w:sz w:val="24"/>
          <w:szCs w:val="24"/>
          <w:lang w:val="bg-BG"/>
        </w:rPr>
        <w:t xml:space="preserve">, че не </w:t>
      </w:r>
      <w:r>
        <w:rPr>
          <w:sz w:val="24"/>
          <w:szCs w:val="24"/>
          <w:lang w:val="bg-BG"/>
        </w:rPr>
        <w:t xml:space="preserve">е предоставил изискващата се информация, </w:t>
      </w:r>
      <w:r w:rsidRPr="001D71EA">
        <w:rPr>
          <w:sz w:val="24"/>
          <w:szCs w:val="24"/>
          <w:lang w:val="bg-BG"/>
        </w:rPr>
        <w:t xml:space="preserve">свързана с удостоверяване </w:t>
      </w:r>
      <w:r w:rsidR="00DE77B2" w:rsidRPr="001D71EA">
        <w:rPr>
          <w:sz w:val="24"/>
          <w:szCs w:val="24"/>
        </w:rPr>
        <w:t>липсата на основания за отстраняване или изпълнението на критериите за подбор</w:t>
      </w:r>
      <w:r w:rsidR="000209F0" w:rsidRPr="001D71EA">
        <w:rPr>
          <w:sz w:val="24"/>
          <w:szCs w:val="24"/>
          <w:lang w:val="bg-BG"/>
        </w:rPr>
        <w:t>.</w:t>
      </w:r>
    </w:p>
    <w:p w:rsidR="006C458A" w:rsidRDefault="006C458A" w:rsidP="000209F0">
      <w:pPr>
        <w:ind w:firstLine="720"/>
        <w:jc w:val="both"/>
        <w:rPr>
          <w:color w:val="FF0000"/>
          <w:sz w:val="24"/>
          <w:szCs w:val="24"/>
          <w:lang w:val="bg-BG"/>
        </w:rPr>
      </w:pPr>
    </w:p>
    <w:p w:rsidR="00AE2192" w:rsidRPr="001D71EA" w:rsidRDefault="006C458A" w:rsidP="00AE2192">
      <w:pPr>
        <w:ind w:firstLine="709"/>
        <w:jc w:val="both"/>
        <w:rPr>
          <w:sz w:val="24"/>
          <w:szCs w:val="24"/>
        </w:rPr>
      </w:pPr>
      <w:r w:rsidRPr="001D71EA">
        <w:rPr>
          <w:sz w:val="24"/>
          <w:szCs w:val="24"/>
          <w:lang w:val="bg-BG"/>
        </w:rPr>
        <w:t xml:space="preserve">5. </w:t>
      </w:r>
      <w:r w:rsidR="00AE2192" w:rsidRPr="001D71EA">
        <w:rPr>
          <w:sz w:val="24"/>
          <w:szCs w:val="24"/>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1D71EA">
          <w:rPr>
            <w:sz w:val="24"/>
            <w:szCs w:val="24"/>
          </w:rPr>
          <w:t>чл. 61, ал. 1</w:t>
        </w:r>
      </w:hyperlink>
      <w:r w:rsidR="00AE2192" w:rsidRPr="001D71EA">
        <w:rPr>
          <w:sz w:val="24"/>
          <w:szCs w:val="24"/>
        </w:rPr>
        <w:t>, </w:t>
      </w:r>
      <w:hyperlink r:id="rId8" w:anchor="p5988269" w:history="1">
        <w:r w:rsidR="00AE2192" w:rsidRPr="001D71EA">
          <w:rPr>
            <w:sz w:val="24"/>
            <w:szCs w:val="24"/>
          </w:rPr>
          <w:t>чл. 62, ал. 1</w:t>
        </w:r>
      </w:hyperlink>
      <w:r w:rsidR="00AE2192" w:rsidRPr="001D71EA">
        <w:rPr>
          <w:sz w:val="24"/>
          <w:szCs w:val="24"/>
        </w:rPr>
        <w:t> или </w:t>
      </w:r>
      <w:hyperlink r:id="rId9" w:anchor="p5988269" w:history="1">
        <w:r w:rsidR="00AE2192" w:rsidRPr="001D71EA">
          <w:rPr>
            <w:sz w:val="24"/>
            <w:szCs w:val="24"/>
          </w:rPr>
          <w:t>3</w:t>
        </w:r>
      </w:hyperlink>
      <w:r w:rsidR="00AE2192" w:rsidRPr="001D71EA">
        <w:rPr>
          <w:sz w:val="24"/>
          <w:szCs w:val="24"/>
        </w:rPr>
        <w:t>, </w:t>
      </w:r>
      <w:hyperlink r:id="rId10" w:anchor="p5987881" w:history="1">
        <w:r w:rsidR="00AE2192" w:rsidRPr="001D71EA">
          <w:rPr>
            <w:sz w:val="24"/>
            <w:szCs w:val="24"/>
          </w:rPr>
          <w:t>чл. 63, ал. 1</w:t>
        </w:r>
      </w:hyperlink>
      <w:r w:rsidR="00AE2192" w:rsidRPr="001D71EA">
        <w:rPr>
          <w:sz w:val="24"/>
          <w:szCs w:val="24"/>
        </w:rPr>
        <w:t> или </w:t>
      </w:r>
      <w:hyperlink r:id="rId11" w:anchor="p5987881" w:history="1">
        <w:r w:rsidR="00AE2192" w:rsidRPr="001D71EA">
          <w:rPr>
            <w:sz w:val="24"/>
            <w:szCs w:val="24"/>
          </w:rPr>
          <w:t>2</w:t>
        </w:r>
      </w:hyperlink>
      <w:r w:rsidR="00AE2192" w:rsidRPr="001D71EA">
        <w:rPr>
          <w:sz w:val="24"/>
          <w:szCs w:val="24"/>
        </w:rPr>
        <w:t>, </w:t>
      </w:r>
      <w:hyperlink r:id="rId12" w:anchor="p5987599" w:history="1">
        <w:r w:rsidR="00AE2192" w:rsidRPr="001D71EA">
          <w:rPr>
            <w:sz w:val="24"/>
            <w:szCs w:val="24"/>
          </w:rPr>
          <w:t>чл. 118</w:t>
        </w:r>
      </w:hyperlink>
      <w:r w:rsidR="00AE2192" w:rsidRPr="001D71EA">
        <w:rPr>
          <w:sz w:val="24"/>
          <w:szCs w:val="24"/>
        </w:rPr>
        <w:t>, </w:t>
      </w:r>
      <w:hyperlink r:id="rId13" w:anchor="p5986991" w:history="1">
        <w:r w:rsidR="00AE2192" w:rsidRPr="001D71EA">
          <w:rPr>
            <w:sz w:val="24"/>
            <w:szCs w:val="24"/>
          </w:rPr>
          <w:t>чл. 128</w:t>
        </w:r>
      </w:hyperlink>
      <w:r w:rsidR="00AE2192" w:rsidRPr="001D71EA">
        <w:rPr>
          <w:sz w:val="24"/>
          <w:szCs w:val="24"/>
        </w:rPr>
        <w:t>, </w:t>
      </w:r>
      <w:hyperlink r:id="rId14" w:anchor="p36456930" w:history="1">
        <w:r w:rsidR="00AE2192" w:rsidRPr="001D71EA">
          <w:rPr>
            <w:sz w:val="24"/>
            <w:szCs w:val="24"/>
          </w:rPr>
          <w:t>чл. 228, ал. 3</w:t>
        </w:r>
      </w:hyperlink>
      <w:r w:rsidR="00AE2192" w:rsidRPr="001D71EA">
        <w:rPr>
          <w:sz w:val="24"/>
          <w:szCs w:val="24"/>
        </w:rPr>
        <w:t>, </w:t>
      </w:r>
      <w:hyperlink r:id="rId15" w:anchor="p5987740" w:history="1">
        <w:r w:rsidR="00AE2192" w:rsidRPr="001D71EA">
          <w:rPr>
            <w:sz w:val="24"/>
            <w:szCs w:val="24"/>
          </w:rPr>
          <w:t>чл. 245</w:t>
        </w:r>
      </w:hyperlink>
      <w:r w:rsidR="00AE2192" w:rsidRPr="001D71EA">
        <w:rPr>
          <w:sz w:val="24"/>
          <w:szCs w:val="24"/>
        </w:rPr>
        <w:t> и </w:t>
      </w:r>
      <w:hyperlink r:id="rId16" w:anchor="p5987759" w:history="1">
        <w:r w:rsidR="00AE2192" w:rsidRPr="001D71EA">
          <w:rPr>
            <w:sz w:val="24"/>
            <w:szCs w:val="24"/>
          </w:rPr>
          <w:t>чл. 301</w:t>
        </w:r>
      </w:hyperlink>
      <w:r w:rsidR="00AE2192" w:rsidRPr="001D71EA">
        <w:rPr>
          <w:sz w:val="24"/>
          <w:szCs w:val="24"/>
        </w:rPr>
        <w:t> – </w:t>
      </w:r>
      <w:hyperlink r:id="rId17" w:anchor="p5987995" w:history="1">
        <w:r w:rsidR="00AE2192" w:rsidRPr="001D71EA">
          <w:rPr>
            <w:sz w:val="24"/>
            <w:szCs w:val="24"/>
          </w:rPr>
          <w:t>305 от Кодекса на труда</w:t>
        </w:r>
      </w:hyperlink>
      <w:r w:rsidR="00AE2192" w:rsidRPr="001D71EA">
        <w:rPr>
          <w:sz w:val="24"/>
          <w:szCs w:val="24"/>
        </w:rPr>
        <w:t> или </w:t>
      </w:r>
      <w:hyperlink r:id="rId18" w:anchor="p37429892" w:history="1">
        <w:r w:rsidR="00AE2192" w:rsidRPr="001D71EA">
          <w:rPr>
            <w:sz w:val="24"/>
            <w:szCs w:val="24"/>
          </w:rPr>
          <w:t>чл. 13, ал. 1 от Закона за трудовата миграция и трудовата мобилност</w:t>
        </w:r>
      </w:hyperlink>
      <w:r w:rsidR="00AE2192" w:rsidRPr="001D71EA">
        <w:rPr>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2E" w:rsidRDefault="0068032E" w:rsidP="00C83A47">
      <w:r>
        <w:separator/>
      </w:r>
    </w:p>
  </w:endnote>
  <w:endnote w:type="continuationSeparator" w:id="0">
    <w:p w:rsidR="0068032E" w:rsidRDefault="0068032E"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2E" w:rsidRDefault="0068032E" w:rsidP="00C83A47">
      <w:r>
        <w:separator/>
      </w:r>
    </w:p>
  </w:footnote>
  <w:footnote w:type="continuationSeparator" w:id="0">
    <w:p w:rsidR="0068032E" w:rsidRDefault="0068032E" w:rsidP="00C83A47">
      <w:r>
        <w:continuationSeparator/>
      </w:r>
    </w:p>
  </w:footnote>
  <w:footnote w:id="1">
    <w:p w:rsidR="00453333" w:rsidRPr="00453333" w:rsidRDefault="00C83A47" w:rsidP="00453333">
      <w:pPr>
        <w:jc w:val="both"/>
        <w:rPr>
          <w:lang w:val="bg-BG"/>
        </w:rPr>
      </w:pPr>
      <w:r w:rsidRPr="00453333">
        <w:rPr>
          <w:rStyle w:val="FootnoteReference"/>
        </w:rPr>
        <w:footnoteRef/>
      </w:r>
      <w:r w:rsidR="00453333" w:rsidRPr="00453333">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53333" w:rsidRDefault="00453333" w:rsidP="00453333">
      <w:pPr>
        <w:jc w:val="both"/>
      </w:pPr>
      <w:r w:rsidRPr="00453333">
        <w:t>Декларацията се прилага за всеки член на обединение и/или за подизпълнител и за трето лице</w:t>
      </w:r>
      <w:r w:rsidRPr="00453333">
        <w:rPr>
          <w:lang w:val="bg-BG"/>
        </w:rPr>
        <w:t>, когато е приложимо</w:t>
      </w:r>
      <w:r w:rsidRPr="00453333">
        <w:t>.</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72925"/>
    <w:rsid w:val="00190AAB"/>
    <w:rsid w:val="001D71EA"/>
    <w:rsid w:val="002058FD"/>
    <w:rsid w:val="00220BBE"/>
    <w:rsid w:val="0027104C"/>
    <w:rsid w:val="002823C1"/>
    <w:rsid w:val="00310558"/>
    <w:rsid w:val="00321F6F"/>
    <w:rsid w:val="003266D0"/>
    <w:rsid w:val="00383BDD"/>
    <w:rsid w:val="00393935"/>
    <w:rsid w:val="003978C8"/>
    <w:rsid w:val="003C1FAE"/>
    <w:rsid w:val="00400821"/>
    <w:rsid w:val="00414029"/>
    <w:rsid w:val="0041625D"/>
    <w:rsid w:val="00450DDD"/>
    <w:rsid w:val="00453333"/>
    <w:rsid w:val="00461E6C"/>
    <w:rsid w:val="00474FD4"/>
    <w:rsid w:val="00493919"/>
    <w:rsid w:val="004E089E"/>
    <w:rsid w:val="0054374C"/>
    <w:rsid w:val="005445D9"/>
    <w:rsid w:val="00547295"/>
    <w:rsid w:val="00550115"/>
    <w:rsid w:val="005609A8"/>
    <w:rsid w:val="0056392D"/>
    <w:rsid w:val="00571067"/>
    <w:rsid w:val="005A7820"/>
    <w:rsid w:val="005B50D6"/>
    <w:rsid w:val="005C4B65"/>
    <w:rsid w:val="005D7100"/>
    <w:rsid w:val="005F18ED"/>
    <w:rsid w:val="0068032E"/>
    <w:rsid w:val="006B1684"/>
    <w:rsid w:val="006B2E3E"/>
    <w:rsid w:val="006C458A"/>
    <w:rsid w:val="006E0021"/>
    <w:rsid w:val="007104ED"/>
    <w:rsid w:val="00730F7B"/>
    <w:rsid w:val="00744298"/>
    <w:rsid w:val="007549C2"/>
    <w:rsid w:val="007D3F29"/>
    <w:rsid w:val="008234DF"/>
    <w:rsid w:val="008425C7"/>
    <w:rsid w:val="0085246B"/>
    <w:rsid w:val="00880959"/>
    <w:rsid w:val="008B2797"/>
    <w:rsid w:val="008D326F"/>
    <w:rsid w:val="008D5BC2"/>
    <w:rsid w:val="008D60D1"/>
    <w:rsid w:val="00920BDE"/>
    <w:rsid w:val="009467E5"/>
    <w:rsid w:val="00950B04"/>
    <w:rsid w:val="009965C6"/>
    <w:rsid w:val="009C1297"/>
    <w:rsid w:val="00A20FF3"/>
    <w:rsid w:val="00A34404"/>
    <w:rsid w:val="00A41E15"/>
    <w:rsid w:val="00A5675C"/>
    <w:rsid w:val="00A63768"/>
    <w:rsid w:val="00AA27C1"/>
    <w:rsid w:val="00AE2192"/>
    <w:rsid w:val="00B21E15"/>
    <w:rsid w:val="00B27B93"/>
    <w:rsid w:val="00B41D2C"/>
    <w:rsid w:val="00BD0838"/>
    <w:rsid w:val="00C45676"/>
    <w:rsid w:val="00C8174E"/>
    <w:rsid w:val="00C83A47"/>
    <w:rsid w:val="00CA2CBE"/>
    <w:rsid w:val="00CB6672"/>
    <w:rsid w:val="00CC26F6"/>
    <w:rsid w:val="00CC290E"/>
    <w:rsid w:val="00CC48B4"/>
    <w:rsid w:val="00CF67E8"/>
    <w:rsid w:val="00D9075D"/>
    <w:rsid w:val="00DC01AF"/>
    <w:rsid w:val="00DE323F"/>
    <w:rsid w:val="00DE77B2"/>
    <w:rsid w:val="00E31E58"/>
    <w:rsid w:val="00EA54CA"/>
    <w:rsid w:val="00EB243F"/>
    <w:rsid w:val="00EC4AD6"/>
    <w:rsid w:val="00EE101C"/>
    <w:rsid w:val="00EF4632"/>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AC5E-8A86-48AF-AEF9-082B5172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17</cp:revision>
  <cp:lastPrinted>2019-12-09T08:52:00Z</cp:lastPrinted>
  <dcterms:created xsi:type="dcterms:W3CDTF">2019-06-14T06:54:00Z</dcterms:created>
  <dcterms:modified xsi:type="dcterms:W3CDTF">2019-12-09T08:52:00Z</dcterms:modified>
</cp:coreProperties>
</file>