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932C48" w:rsidP="0036779A">
      <w:pPr>
        <w:ind w:left="7080" w:firstLine="708"/>
        <w:rPr>
          <w:b/>
          <w:bCs/>
          <w:i/>
          <w:sz w:val="24"/>
          <w:szCs w:val="24"/>
          <w:lang w:val="bg-BG"/>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B50A89">
        <w:rPr>
          <w:b/>
          <w:bCs/>
          <w:i/>
          <w:sz w:val="24"/>
          <w:szCs w:val="24"/>
          <w:lang w:val="bg-BG"/>
        </w:rPr>
        <w:t>№</w:t>
      </w:r>
      <w:r w:rsidR="00BD3408">
        <w:rPr>
          <w:b/>
          <w:bCs/>
          <w:i/>
          <w:sz w:val="24"/>
          <w:szCs w:val="24"/>
          <w:lang w:val="bg-BG"/>
        </w:rPr>
        <w:t>2</w:t>
      </w:r>
    </w:p>
    <w:p w:rsidR="00744DFB" w:rsidRPr="006B6518" w:rsidRDefault="0036779A" w:rsidP="006B6518">
      <w:pPr>
        <w:ind w:left="7080" w:firstLine="708"/>
        <w:rPr>
          <w:b/>
          <w:bCs/>
          <w:sz w:val="24"/>
          <w:szCs w:val="24"/>
          <w:lang w:val="bg-BG"/>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r w:rsidRPr="00C66920">
        <w:rPr>
          <w:sz w:val="24"/>
          <w:szCs w:val="24"/>
        </w:rPr>
        <w:t>з</w:t>
      </w:r>
      <w:r w:rsidRPr="00C66920">
        <w:rPr>
          <w:sz w:val="24"/>
          <w:szCs w:val="24"/>
          <w:lang w:val="bg-BG"/>
        </w:rPr>
        <w:t xml:space="preserve">а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D46AF1" w:rsidRPr="00D46AF1">
        <w:rPr>
          <w:b/>
          <w:sz w:val="24"/>
          <w:szCs w:val="24"/>
          <w:lang w:val="bg-BG"/>
        </w:rPr>
        <w:t>„Проектиране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 собственост  на „БДЖ – Пътнически превози” ЕООД</w:t>
      </w:r>
      <w:r w:rsidR="00E83016" w:rsidRPr="003A7AE9">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sidRPr="00D46AF1">
        <w:rPr>
          <w:b/>
          <w:sz w:val="22"/>
          <w:szCs w:val="22"/>
        </w:rPr>
        <w:t>Телефон</w:t>
      </w:r>
      <w:r w:rsidRPr="00D46AF1">
        <w:rPr>
          <w:b/>
          <w:sz w:val="22"/>
          <w:szCs w:val="22"/>
          <w:lang w:val="en-US"/>
        </w:rPr>
        <w:t xml:space="preserve"> </w:t>
      </w:r>
      <w:r w:rsidRPr="00D46AF1">
        <w:rPr>
          <w:b/>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0C5421" w:rsidRPr="00E24B51" w:rsidRDefault="000343B2" w:rsidP="006B6518">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D46AF1" w:rsidRPr="00D46AF1" w:rsidRDefault="00D67B67" w:rsidP="00D46AF1">
      <w:pPr>
        <w:ind w:right="538"/>
        <w:jc w:val="both"/>
        <w:rPr>
          <w:sz w:val="22"/>
          <w:szCs w:val="22"/>
          <w:lang w:val="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w:t>
      </w:r>
      <w:r w:rsidR="00C66920">
        <w:rPr>
          <w:sz w:val="22"/>
          <w:szCs w:val="22"/>
          <w:lang w:val="ru-RU"/>
        </w:rPr>
        <w:t>ане с условията на публикуваното</w:t>
      </w:r>
      <w:r w:rsidR="00BC59A0" w:rsidRPr="000343B2">
        <w:rPr>
          <w:sz w:val="22"/>
          <w:szCs w:val="22"/>
          <w:lang w:val="ru-RU"/>
        </w:rPr>
        <w:t xml:space="preserve"> от Вас </w:t>
      </w:r>
      <w:r w:rsidR="00C66920" w:rsidRPr="0027156E">
        <w:rPr>
          <w:sz w:val="22"/>
          <w:szCs w:val="22"/>
          <w:lang w:val="ru-RU"/>
        </w:rPr>
        <w:t>запитване</w:t>
      </w:r>
      <w:r w:rsidR="00BC59A0" w:rsidRPr="000343B2">
        <w:rPr>
          <w:sz w:val="22"/>
          <w:szCs w:val="22"/>
          <w:lang w:val="ru-RU"/>
        </w:rPr>
        <w:t xml:space="preserve">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3A7AE9">
        <w:rPr>
          <w:sz w:val="22"/>
          <w:szCs w:val="22"/>
          <w:lang w:val="bg-BG"/>
        </w:rPr>
        <w:t xml:space="preserve"> </w:t>
      </w:r>
      <w:r w:rsidR="00D46AF1" w:rsidRPr="00D46AF1">
        <w:rPr>
          <w:sz w:val="22"/>
          <w:szCs w:val="22"/>
          <w:lang w:val="bg-BG"/>
        </w:rPr>
        <w:t>„Проектиране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 собственост  на „БДЖ – Пътнически превози” ЕООД</w:t>
      </w:r>
    </w:p>
    <w:p w:rsidR="00004055" w:rsidRPr="00591626" w:rsidRDefault="00DF2A26" w:rsidP="00591626">
      <w:pPr>
        <w:ind w:right="538"/>
        <w:jc w:val="both"/>
        <w:rPr>
          <w:color w:val="000000"/>
          <w:sz w:val="22"/>
          <w:szCs w:val="22"/>
          <w:lang w:val="bg-BG" w:eastAsia="bg-BG"/>
        </w:rPr>
      </w:pPr>
      <w:r w:rsidRPr="000343B2">
        <w:rPr>
          <w:sz w:val="22"/>
          <w:szCs w:val="22"/>
          <w:lang w:val="bg-BG"/>
        </w:rPr>
        <w:t>:</w:t>
      </w:r>
    </w:p>
    <w:p w:rsidR="00B05D1C" w:rsidRPr="008E4332" w:rsidRDefault="000343B2" w:rsidP="003A7AE9">
      <w:pPr>
        <w:tabs>
          <w:tab w:val="left" w:pos="567"/>
        </w:tabs>
        <w:ind w:right="538"/>
        <w:jc w:val="both"/>
        <w:rPr>
          <w:sz w:val="22"/>
          <w:szCs w:val="22"/>
          <w:lang w:val="en-GB"/>
        </w:rPr>
      </w:pPr>
      <w:r>
        <w:rPr>
          <w:sz w:val="22"/>
          <w:szCs w:val="22"/>
          <w:lang w:val="ru-RU"/>
        </w:rPr>
        <w:t xml:space="preserve">      </w:t>
      </w:r>
      <w:r w:rsidRPr="008F4972">
        <w:rPr>
          <w:sz w:val="22"/>
          <w:szCs w:val="22"/>
          <w:lang w:val="ru-RU"/>
        </w:rPr>
        <w:t xml:space="preserve">1. Приемаме да извършим поръчката в съответствие </w:t>
      </w:r>
      <w:r w:rsidR="003A7AE9">
        <w:rPr>
          <w:sz w:val="22"/>
          <w:szCs w:val="22"/>
          <w:lang w:val="ru-RU"/>
        </w:rPr>
        <w:t xml:space="preserve">с </w:t>
      </w:r>
      <w:r w:rsidR="003A7AE9" w:rsidRPr="003A7AE9">
        <w:rPr>
          <w:sz w:val="22"/>
          <w:szCs w:val="22"/>
          <w:lang w:val="ru-RU"/>
        </w:rPr>
        <w:t xml:space="preserve">Приложение № 1 – </w:t>
      </w:r>
      <w:r w:rsidR="00D46AF1" w:rsidRPr="00D46AF1">
        <w:rPr>
          <w:sz w:val="22"/>
          <w:szCs w:val="22"/>
          <w:lang w:val="bg-BG"/>
        </w:rPr>
        <w:t>Техническо задание за „Проектиране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w:t>
      </w:r>
      <w:r w:rsidR="003A7AE9" w:rsidRPr="003A7AE9">
        <w:rPr>
          <w:sz w:val="22"/>
          <w:szCs w:val="22"/>
          <w:lang w:val="ru-RU"/>
        </w:rPr>
        <w:t>;</w:t>
      </w:r>
      <w:r w:rsidR="00E83016" w:rsidRPr="00E83016">
        <w:rPr>
          <w:sz w:val="22"/>
          <w:szCs w:val="22"/>
          <w:lang w:val="ru-RU"/>
        </w:rPr>
        <w:t>.</w:t>
      </w:r>
    </w:p>
    <w:p w:rsidR="001E7E99" w:rsidRPr="006B6518" w:rsidRDefault="00712D5B" w:rsidP="00387413">
      <w:pPr>
        <w:pStyle w:val="ListParagraph"/>
        <w:tabs>
          <w:tab w:val="left" w:pos="0"/>
          <w:tab w:val="left" w:pos="567"/>
        </w:tabs>
        <w:ind w:left="0" w:right="538" w:firstLine="284"/>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sidR="004C69CF">
        <w:rPr>
          <w:sz w:val="22"/>
          <w:szCs w:val="22"/>
          <w:u w:val="none"/>
          <w:lang w:val="bg-BG"/>
        </w:rPr>
        <w:t xml:space="preserve"> </w:t>
      </w:r>
      <w:r w:rsidR="00D46AF1" w:rsidRPr="00D46AF1">
        <w:rPr>
          <w:sz w:val="22"/>
          <w:szCs w:val="22"/>
          <w:u w:val="none"/>
          <w:lang w:val="bg-BG"/>
        </w:rPr>
        <w:t>„Проектиране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 собственост  на „БДЖ – Пътнически превози” ЕООД</w:t>
      </w:r>
      <w:r w:rsidR="004C69CF">
        <w:rPr>
          <w:b/>
          <w:sz w:val="22"/>
          <w:szCs w:val="22"/>
          <w:u w:val="none"/>
          <w:lang w:val="en-GB"/>
        </w:rPr>
        <w:t xml:space="preserve"> </w:t>
      </w:r>
      <w:r>
        <w:rPr>
          <w:sz w:val="22"/>
          <w:szCs w:val="22"/>
          <w:u w:val="none"/>
          <w:lang w:val="bg-BG"/>
        </w:rPr>
        <w:t xml:space="preserve">при следните цени: </w:t>
      </w:r>
    </w:p>
    <w:p w:rsidR="00D46AF1" w:rsidRDefault="00D46AF1" w:rsidP="00712D5B">
      <w:pPr>
        <w:tabs>
          <w:tab w:val="left" w:pos="0"/>
          <w:tab w:val="left" w:pos="567"/>
        </w:tabs>
        <w:ind w:right="538"/>
        <w:contextualSpacing/>
        <w:jc w:val="both"/>
        <w:rPr>
          <w:b/>
          <w:sz w:val="24"/>
          <w:szCs w:val="24"/>
        </w:rPr>
      </w:pPr>
    </w:p>
    <w:tbl>
      <w:tblPr>
        <w:tblpPr w:leftFromText="141" w:rightFromText="141" w:vertAnchor="text" w:horzAnchor="margin" w:tblpXSpec="center" w:tblpY="143"/>
        <w:tblW w:w="9781" w:type="dxa"/>
        <w:tblLayout w:type="fixed"/>
        <w:tblCellMar>
          <w:left w:w="70" w:type="dxa"/>
          <w:right w:w="70" w:type="dxa"/>
        </w:tblCellMar>
        <w:tblLook w:val="04A0" w:firstRow="1" w:lastRow="0" w:firstColumn="1" w:lastColumn="0" w:noHBand="0" w:noVBand="1"/>
      </w:tblPr>
      <w:tblGrid>
        <w:gridCol w:w="637"/>
        <w:gridCol w:w="4395"/>
        <w:gridCol w:w="838"/>
        <w:gridCol w:w="1218"/>
        <w:gridCol w:w="2693"/>
      </w:tblGrid>
      <w:tr w:rsidR="00D46AF1" w:rsidRPr="00D46AF1" w:rsidTr="00F26BF5">
        <w:trPr>
          <w:trHeight w:val="1150"/>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6AF1" w:rsidRPr="00D46AF1" w:rsidRDefault="00D46AF1" w:rsidP="00D46AF1">
            <w:pPr>
              <w:jc w:val="center"/>
              <w:rPr>
                <w:b/>
                <w:bCs/>
                <w:color w:val="000000"/>
                <w:lang w:val="bg-BG" w:eastAsia="bg-BG"/>
              </w:rPr>
            </w:pPr>
            <w:r w:rsidRPr="00D46AF1">
              <w:rPr>
                <w:b/>
                <w:bCs/>
                <w:color w:val="000000"/>
                <w:lang w:val="bg-BG" w:eastAsia="bg-BG"/>
              </w:rPr>
              <w:t>№</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6AF1" w:rsidRPr="00D46AF1" w:rsidRDefault="00D46AF1" w:rsidP="00D46AF1">
            <w:pPr>
              <w:jc w:val="center"/>
              <w:rPr>
                <w:b/>
                <w:bCs/>
                <w:color w:val="000000"/>
                <w:lang w:val="en-US" w:eastAsia="bg-BG"/>
              </w:rPr>
            </w:pPr>
            <w:r w:rsidRPr="00D46AF1">
              <w:rPr>
                <w:b/>
                <w:bCs/>
                <w:color w:val="000000"/>
                <w:lang w:val="bg-BG" w:eastAsia="bg-BG"/>
              </w:rPr>
              <w:t>Наименование</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6AF1" w:rsidRPr="00D46AF1" w:rsidRDefault="00D46AF1" w:rsidP="00D46AF1">
            <w:pPr>
              <w:jc w:val="center"/>
              <w:rPr>
                <w:b/>
                <w:bCs/>
                <w:color w:val="000000"/>
                <w:lang w:val="bg-BG" w:eastAsia="bg-BG"/>
              </w:rPr>
            </w:pPr>
            <w:r w:rsidRPr="00D46AF1">
              <w:rPr>
                <w:b/>
                <w:bCs/>
                <w:color w:val="000000"/>
                <w:lang w:val="bg-BG" w:eastAsia="bg-BG"/>
              </w:rPr>
              <w:t>Мярка</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6AF1" w:rsidRPr="00D46AF1" w:rsidRDefault="00F26BF5" w:rsidP="00D46AF1">
            <w:pPr>
              <w:jc w:val="center"/>
              <w:rPr>
                <w:b/>
                <w:bCs/>
                <w:color w:val="000000"/>
                <w:lang w:val="bg-BG" w:eastAsia="bg-BG"/>
              </w:rPr>
            </w:pPr>
            <w:r>
              <w:rPr>
                <w:b/>
                <w:bCs/>
                <w:color w:val="000000"/>
                <w:lang w:val="bg-BG" w:eastAsia="bg-BG"/>
              </w:rPr>
              <w:t>К</w:t>
            </w:r>
            <w:r w:rsidR="00D46AF1" w:rsidRPr="00D46AF1">
              <w:rPr>
                <w:b/>
                <w:bCs/>
                <w:color w:val="000000"/>
                <w:lang w:val="bg-BG" w:eastAsia="bg-BG"/>
              </w:rPr>
              <w:t>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6AF1" w:rsidRPr="00D46AF1" w:rsidRDefault="00D46AF1" w:rsidP="00D46AF1">
            <w:pPr>
              <w:jc w:val="center"/>
              <w:rPr>
                <w:b/>
                <w:bCs/>
                <w:color w:val="000000"/>
                <w:lang w:val="bg-BG" w:eastAsia="bg-BG"/>
              </w:rPr>
            </w:pPr>
            <w:r w:rsidRPr="00D46AF1">
              <w:rPr>
                <w:b/>
                <w:bCs/>
                <w:color w:val="000000"/>
                <w:lang w:val="bg-BG" w:eastAsia="bg-BG"/>
              </w:rPr>
              <w:t xml:space="preserve">Размер на </w:t>
            </w:r>
            <w:proofErr w:type="spellStart"/>
            <w:r w:rsidRPr="00D46AF1">
              <w:rPr>
                <w:b/>
                <w:bCs/>
                <w:color w:val="000000"/>
                <w:lang w:val="bg-BG" w:eastAsia="bg-BG"/>
              </w:rPr>
              <w:t>проектанския</w:t>
            </w:r>
            <w:proofErr w:type="spellEnd"/>
            <w:r w:rsidRPr="00D46AF1">
              <w:rPr>
                <w:b/>
                <w:bCs/>
                <w:color w:val="000000"/>
                <w:lang w:val="bg-BG" w:eastAsia="bg-BG"/>
              </w:rPr>
              <w:t xml:space="preserve"> хонорар</w:t>
            </w:r>
            <w:r>
              <w:rPr>
                <w:b/>
                <w:bCs/>
                <w:color w:val="000000"/>
                <w:lang w:val="bg-BG" w:eastAsia="bg-BG"/>
              </w:rPr>
              <w:t xml:space="preserve"> в лв. без ДДС</w:t>
            </w:r>
          </w:p>
        </w:tc>
      </w:tr>
      <w:tr w:rsidR="00D46AF1" w:rsidRPr="00D46AF1" w:rsidTr="00F26BF5">
        <w:trPr>
          <w:trHeight w:val="410"/>
        </w:trPr>
        <w:tc>
          <w:tcPr>
            <w:tcW w:w="637" w:type="dxa"/>
            <w:tcBorders>
              <w:top w:val="nil"/>
              <w:left w:val="single" w:sz="4" w:space="0" w:color="auto"/>
              <w:bottom w:val="single" w:sz="4" w:space="0" w:color="auto"/>
              <w:right w:val="single" w:sz="4" w:space="0" w:color="auto"/>
            </w:tcBorders>
            <w:vAlign w:val="center"/>
            <w:hideMark/>
          </w:tcPr>
          <w:p w:rsidR="00D46AF1" w:rsidRPr="00D46AF1" w:rsidRDefault="00D46AF1" w:rsidP="00D46AF1">
            <w:pPr>
              <w:jc w:val="center"/>
              <w:rPr>
                <w:color w:val="000000"/>
                <w:lang w:val="bg-BG" w:eastAsia="bg-BG"/>
              </w:rPr>
            </w:pPr>
            <w:r w:rsidRPr="00D46AF1">
              <w:rPr>
                <w:color w:val="000000"/>
                <w:lang w:val="bg-BG" w:eastAsia="bg-BG"/>
              </w:rPr>
              <w:t>1.</w:t>
            </w:r>
          </w:p>
        </w:tc>
        <w:tc>
          <w:tcPr>
            <w:tcW w:w="4395" w:type="dxa"/>
            <w:tcBorders>
              <w:top w:val="nil"/>
              <w:left w:val="nil"/>
              <w:bottom w:val="single" w:sz="4" w:space="0" w:color="auto"/>
              <w:right w:val="single" w:sz="4" w:space="0" w:color="auto"/>
            </w:tcBorders>
            <w:vAlign w:val="center"/>
            <w:hideMark/>
          </w:tcPr>
          <w:p w:rsidR="00D46AF1" w:rsidRPr="00D46AF1" w:rsidRDefault="00D46AF1" w:rsidP="00D46AF1">
            <w:pPr>
              <w:rPr>
                <w:color w:val="000000"/>
                <w:lang w:val="bg-BG" w:eastAsia="bg-BG"/>
              </w:rPr>
            </w:pPr>
            <w:r w:rsidRPr="00D46AF1">
              <w:rPr>
                <w:b/>
                <w:color w:val="000000"/>
                <w:lang w:val="bg-BG" w:eastAsia="bg-BG"/>
              </w:rPr>
              <w:t>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w:t>
            </w:r>
          </w:p>
        </w:tc>
        <w:tc>
          <w:tcPr>
            <w:tcW w:w="838" w:type="dxa"/>
            <w:tcBorders>
              <w:top w:val="nil"/>
              <w:left w:val="nil"/>
              <w:bottom w:val="single" w:sz="4" w:space="0" w:color="auto"/>
              <w:right w:val="single" w:sz="4" w:space="0" w:color="auto"/>
            </w:tcBorders>
            <w:vAlign w:val="center"/>
            <w:hideMark/>
          </w:tcPr>
          <w:p w:rsidR="00D46AF1" w:rsidRPr="00D46AF1" w:rsidRDefault="00D46AF1" w:rsidP="00D46AF1">
            <w:pPr>
              <w:jc w:val="center"/>
              <w:rPr>
                <w:color w:val="000000"/>
                <w:lang w:val="bg-BG" w:eastAsia="bg-BG"/>
              </w:rPr>
            </w:pPr>
            <w:r w:rsidRPr="00D46AF1">
              <w:rPr>
                <w:color w:val="000000"/>
                <w:lang w:val="bg-BG" w:eastAsia="bg-BG"/>
              </w:rPr>
              <w:t xml:space="preserve"> брой</w:t>
            </w:r>
          </w:p>
        </w:tc>
        <w:tc>
          <w:tcPr>
            <w:tcW w:w="1218" w:type="dxa"/>
            <w:tcBorders>
              <w:top w:val="nil"/>
              <w:left w:val="nil"/>
              <w:bottom w:val="single" w:sz="4" w:space="0" w:color="auto"/>
              <w:right w:val="single" w:sz="4" w:space="0" w:color="auto"/>
            </w:tcBorders>
            <w:vAlign w:val="center"/>
            <w:hideMark/>
          </w:tcPr>
          <w:p w:rsidR="00D46AF1" w:rsidRPr="00D46AF1" w:rsidRDefault="00D46AF1" w:rsidP="00D46AF1">
            <w:pPr>
              <w:jc w:val="center"/>
              <w:rPr>
                <w:b/>
                <w:bCs/>
                <w:lang w:val="en-US" w:eastAsia="bg-BG"/>
              </w:rPr>
            </w:pPr>
            <w:r w:rsidRPr="00D46AF1">
              <w:rPr>
                <w:sz w:val="24"/>
                <w:szCs w:val="24"/>
                <w:lang w:val="bg-BG" w:eastAsia="ar-SA"/>
              </w:rPr>
              <w:t>1</w:t>
            </w:r>
          </w:p>
        </w:tc>
        <w:tc>
          <w:tcPr>
            <w:tcW w:w="2693" w:type="dxa"/>
            <w:tcBorders>
              <w:top w:val="single" w:sz="4" w:space="0" w:color="auto"/>
              <w:left w:val="nil"/>
              <w:bottom w:val="single" w:sz="4" w:space="0" w:color="auto"/>
              <w:right w:val="single" w:sz="4" w:space="0" w:color="auto"/>
            </w:tcBorders>
            <w:vAlign w:val="center"/>
            <w:hideMark/>
          </w:tcPr>
          <w:p w:rsidR="00D46AF1" w:rsidRPr="00D46AF1" w:rsidRDefault="00D46AF1" w:rsidP="00D46AF1">
            <w:pPr>
              <w:rPr>
                <w:rFonts w:ascii="Calibri" w:eastAsia="Calibri" w:hAnsi="Calibri"/>
                <w:lang w:val="bg-BG" w:eastAsia="bg-BG"/>
              </w:rPr>
            </w:pPr>
          </w:p>
        </w:tc>
      </w:tr>
    </w:tbl>
    <w:p w:rsidR="00D46AF1" w:rsidRDefault="00D46AF1" w:rsidP="00712D5B">
      <w:pPr>
        <w:tabs>
          <w:tab w:val="left" w:pos="0"/>
          <w:tab w:val="left" w:pos="567"/>
        </w:tabs>
        <w:ind w:right="538"/>
        <w:contextualSpacing/>
        <w:jc w:val="both"/>
        <w:rPr>
          <w:b/>
          <w:sz w:val="24"/>
          <w:szCs w:val="24"/>
        </w:rPr>
      </w:pPr>
    </w:p>
    <w:p w:rsidR="00F26BF5" w:rsidRDefault="00F26BF5" w:rsidP="00387413">
      <w:pPr>
        <w:pStyle w:val="Header"/>
        <w:tabs>
          <w:tab w:val="left" w:pos="9923"/>
        </w:tabs>
        <w:ind w:right="313" w:firstLine="720"/>
        <w:jc w:val="both"/>
        <w:rPr>
          <w:sz w:val="24"/>
          <w:szCs w:val="24"/>
          <w:lang w:val="bg-BG"/>
        </w:rPr>
      </w:pPr>
      <w:r>
        <w:rPr>
          <w:sz w:val="24"/>
          <w:szCs w:val="24"/>
          <w:lang w:val="bg-BG"/>
        </w:rPr>
        <w:t xml:space="preserve">* Забележка: Хонорарите се изчисляват на база методика за определяне размера на възнагражденията за предоставяне на </w:t>
      </w:r>
      <w:proofErr w:type="spellStart"/>
      <w:r>
        <w:rPr>
          <w:sz w:val="24"/>
          <w:szCs w:val="24"/>
          <w:lang w:val="bg-BG"/>
        </w:rPr>
        <w:t>проектански</w:t>
      </w:r>
      <w:proofErr w:type="spellEnd"/>
      <w:r>
        <w:rPr>
          <w:sz w:val="24"/>
          <w:szCs w:val="24"/>
          <w:lang w:val="bg-BG"/>
        </w:rPr>
        <w:t xml:space="preserve"> услуги в </w:t>
      </w:r>
      <w:proofErr w:type="spellStart"/>
      <w:r>
        <w:rPr>
          <w:sz w:val="24"/>
          <w:szCs w:val="24"/>
          <w:lang w:val="bg-BG"/>
        </w:rPr>
        <w:t>устройственото</w:t>
      </w:r>
      <w:proofErr w:type="spellEnd"/>
      <w:r>
        <w:rPr>
          <w:sz w:val="24"/>
          <w:szCs w:val="24"/>
          <w:lang w:val="bg-BG"/>
        </w:rPr>
        <w:t xml:space="preserve"> планиране и инвестиционното проектиране. В цената на хонорара влиза </w:t>
      </w:r>
      <w:r w:rsidR="00990D65">
        <w:rPr>
          <w:sz w:val="24"/>
          <w:szCs w:val="24"/>
          <w:lang w:val="bg-BG"/>
        </w:rPr>
        <w:t>и с</w:t>
      </w:r>
      <w:r w:rsidRPr="00990D65">
        <w:rPr>
          <w:sz w:val="24"/>
          <w:szCs w:val="24"/>
          <w:lang w:val="bg-BG"/>
        </w:rPr>
        <w:t xml:space="preserve">ъгласуване </w:t>
      </w:r>
      <w:r w:rsidR="00971630">
        <w:rPr>
          <w:sz w:val="24"/>
          <w:szCs w:val="24"/>
          <w:lang w:val="bg-BG"/>
        </w:rPr>
        <w:t xml:space="preserve">на </w:t>
      </w:r>
      <w:r w:rsidRPr="00990D65">
        <w:rPr>
          <w:sz w:val="24"/>
          <w:szCs w:val="24"/>
          <w:lang w:val="bg-BG"/>
        </w:rPr>
        <w:t>проектна разработка с одобряващи органи</w:t>
      </w:r>
      <w:r w:rsidR="00990D65" w:rsidRPr="00990D65">
        <w:rPr>
          <w:sz w:val="24"/>
          <w:szCs w:val="24"/>
          <w:lang w:val="bg-BG"/>
        </w:rPr>
        <w:t>.</w:t>
      </w:r>
    </w:p>
    <w:p w:rsidR="00F26BF5" w:rsidRDefault="00F26BF5" w:rsidP="00387413">
      <w:pPr>
        <w:pStyle w:val="Header"/>
        <w:tabs>
          <w:tab w:val="left" w:pos="10632"/>
        </w:tabs>
        <w:ind w:right="313" w:firstLine="720"/>
        <w:jc w:val="both"/>
        <w:rPr>
          <w:sz w:val="24"/>
          <w:szCs w:val="24"/>
          <w:lang w:val="bg-BG"/>
        </w:rPr>
      </w:pPr>
      <w:r>
        <w:rPr>
          <w:sz w:val="24"/>
          <w:szCs w:val="24"/>
          <w:lang w:val="bg-BG"/>
        </w:rPr>
        <w:lastRenderedPageBreak/>
        <w:t>Окончателният хонорар се изчислява на база окончателна РЗП изчислена по ТП и служи за база на окончателните плащания за ТП и РП.</w:t>
      </w:r>
    </w:p>
    <w:p w:rsidR="00F26BF5" w:rsidRDefault="00F26BF5" w:rsidP="00387413">
      <w:pPr>
        <w:pStyle w:val="Header"/>
        <w:tabs>
          <w:tab w:val="left" w:pos="10632"/>
        </w:tabs>
        <w:ind w:right="313" w:firstLine="720"/>
        <w:jc w:val="both"/>
        <w:rPr>
          <w:sz w:val="24"/>
          <w:szCs w:val="24"/>
          <w:lang w:val="bg-BG"/>
        </w:rPr>
      </w:pPr>
      <w:r>
        <w:rPr>
          <w:sz w:val="24"/>
          <w:szCs w:val="24"/>
          <w:lang w:val="bg-BG"/>
        </w:rPr>
        <w:t>Хонорарът е без начислено ДДС, съгласно ЗДДС.</w:t>
      </w:r>
    </w:p>
    <w:p w:rsidR="00F26BF5" w:rsidRDefault="00F26BF5" w:rsidP="00387413">
      <w:pPr>
        <w:pStyle w:val="Header"/>
        <w:tabs>
          <w:tab w:val="left" w:pos="10632"/>
        </w:tabs>
        <w:ind w:right="313" w:firstLine="720"/>
        <w:jc w:val="both"/>
        <w:rPr>
          <w:sz w:val="24"/>
          <w:szCs w:val="24"/>
          <w:lang w:val="bg-BG"/>
        </w:rPr>
      </w:pPr>
      <w:r>
        <w:rPr>
          <w:sz w:val="24"/>
          <w:szCs w:val="24"/>
          <w:lang w:val="bg-BG"/>
        </w:rPr>
        <w:t>Авторският надзор е предмет на отделно договаряне.</w:t>
      </w:r>
    </w:p>
    <w:p w:rsidR="00D46AF1" w:rsidRDefault="00D46AF1" w:rsidP="00387413">
      <w:pPr>
        <w:tabs>
          <w:tab w:val="left" w:pos="0"/>
          <w:tab w:val="left" w:pos="567"/>
        </w:tabs>
        <w:ind w:right="313"/>
        <w:contextualSpacing/>
        <w:jc w:val="both"/>
        <w:rPr>
          <w:b/>
          <w:sz w:val="24"/>
          <w:szCs w:val="24"/>
        </w:rPr>
      </w:pPr>
    </w:p>
    <w:p w:rsidR="00D46AF1" w:rsidRDefault="00D46AF1" w:rsidP="00712D5B">
      <w:pPr>
        <w:tabs>
          <w:tab w:val="left" w:pos="0"/>
          <w:tab w:val="left" w:pos="567"/>
        </w:tabs>
        <w:ind w:right="538"/>
        <w:contextualSpacing/>
        <w:jc w:val="both"/>
        <w:rPr>
          <w:b/>
          <w:sz w:val="24"/>
          <w:szCs w:val="24"/>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w:t>
      </w:r>
      <w:r w:rsidR="00990D65">
        <w:rPr>
          <w:sz w:val="22"/>
          <w:szCs w:val="22"/>
          <w:lang w:val="bg-BG"/>
        </w:rPr>
        <w:t>:</w:t>
      </w:r>
      <w:r w:rsidR="00990D65" w:rsidRPr="00990D65">
        <w:rPr>
          <w:sz w:val="24"/>
          <w:szCs w:val="24"/>
          <w:lang w:val="ru-RU" w:eastAsia="bg-BG"/>
        </w:rPr>
        <w:t xml:space="preserve"> </w:t>
      </w:r>
      <w:r w:rsidR="00990D65" w:rsidRPr="00990D65">
        <w:rPr>
          <w:sz w:val="22"/>
          <w:szCs w:val="22"/>
          <w:lang w:val="ru-RU"/>
        </w:rPr>
        <w:t xml:space="preserve">Локомотивно депо Пловдив, гр. Пловдив, ул. </w:t>
      </w:r>
      <w:r w:rsidR="00990D65" w:rsidRPr="00990D65">
        <w:rPr>
          <w:sz w:val="22"/>
          <w:szCs w:val="22"/>
          <w:lang w:val="bg-BG"/>
        </w:rPr>
        <w:t>„</w:t>
      </w:r>
      <w:r w:rsidR="00990D65" w:rsidRPr="00990D65">
        <w:rPr>
          <w:sz w:val="22"/>
          <w:szCs w:val="22"/>
          <w:lang w:val="ru-RU"/>
        </w:rPr>
        <w:t>Сергей Румянцев</w:t>
      </w:r>
      <w:r w:rsidR="00990D65" w:rsidRPr="00990D65">
        <w:rPr>
          <w:sz w:val="22"/>
          <w:szCs w:val="22"/>
          <w:lang w:val="bg-BG"/>
        </w:rPr>
        <w:t>”</w:t>
      </w:r>
      <w:r w:rsidR="00990D65" w:rsidRPr="00990D65">
        <w:rPr>
          <w:sz w:val="22"/>
          <w:szCs w:val="22"/>
          <w:lang w:val="ru-RU"/>
        </w:rPr>
        <w:t xml:space="preserve"> №1</w:t>
      </w:r>
      <w:r>
        <w:rPr>
          <w:sz w:val="22"/>
          <w:szCs w:val="22"/>
          <w:lang w:val="bg-BG"/>
        </w:rPr>
        <w:t xml:space="preserve"> </w:t>
      </w:r>
    </w:p>
    <w:p w:rsidR="00990D65" w:rsidRDefault="006249B8" w:rsidP="00990D65">
      <w:pPr>
        <w:tabs>
          <w:tab w:val="left" w:pos="567"/>
        </w:tabs>
        <w:ind w:right="538"/>
        <w:jc w:val="both"/>
        <w:rPr>
          <w:sz w:val="22"/>
          <w:szCs w:val="22"/>
          <w:lang w:val="bg-BG"/>
        </w:rPr>
      </w:pPr>
      <w:r>
        <w:rPr>
          <w:sz w:val="22"/>
          <w:szCs w:val="22"/>
          <w:lang w:val="bg-BG"/>
        </w:rPr>
        <w:t xml:space="preserve">     4. Срок за изпълнение</w:t>
      </w:r>
      <w:r>
        <w:rPr>
          <w:sz w:val="22"/>
          <w:szCs w:val="22"/>
          <w:lang w:val="en-GB"/>
        </w:rPr>
        <w:t xml:space="preserve">: </w:t>
      </w:r>
      <w:r w:rsidR="00990D65" w:rsidRPr="00990D65">
        <w:rPr>
          <w:sz w:val="22"/>
          <w:szCs w:val="22"/>
          <w:lang w:val="ru-RU"/>
        </w:rPr>
        <w:t>Срок за изработване и съгласуване на проекта пред съответните лицензирани органи е  до 120 календарни дни от датата на подписване на договора</w:t>
      </w:r>
      <w:r w:rsidR="00DA2588">
        <w:rPr>
          <w:sz w:val="22"/>
          <w:szCs w:val="22"/>
          <w:lang w:val="bg-BG"/>
        </w:rPr>
        <w:t xml:space="preserve">     </w:t>
      </w:r>
    </w:p>
    <w:p w:rsidR="002E23F3" w:rsidRDefault="00BD3408" w:rsidP="00BD3408">
      <w:pPr>
        <w:tabs>
          <w:tab w:val="left" w:pos="284"/>
        </w:tabs>
        <w:ind w:right="538"/>
        <w:jc w:val="both"/>
        <w:rPr>
          <w:sz w:val="22"/>
          <w:szCs w:val="22"/>
          <w:lang w:val="bg-BG"/>
        </w:rPr>
      </w:pPr>
      <w:r>
        <w:rPr>
          <w:sz w:val="22"/>
          <w:szCs w:val="22"/>
          <w:lang w:val="bg-BG"/>
        </w:rPr>
        <w:tab/>
      </w:r>
      <w:r w:rsidR="00712D5B">
        <w:rPr>
          <w:sz w:val="22"/>
          <w:szCs w:val="22"/>
          <w:lang w:val="bg-BG"/>
        </w:rPr>
        <w:t>5</w:t>
      </w:r>
      <w:r w:rsidR="00DA2588">
        <w:rPr>
          <w:sz w:val="22"/>
          <w:szCs w:val="22"/>
          <w:lang w:val="bg-BG"/>
        </w:rPr>
        <w:t xml:space="preserve">. </w:t>
      </w:r>
      <w:r w:rsidR="002E23F3" w:rsidRPr="00DA2588">
        <w:rPr>
          <w:sz w:val="22"/>
          <w:szCs w:val="22"/>
          <w:lang w:val="bg-BG"/>
        </w:rPr>
        <w:t>Предложените от нас единичн</w:t>
      </w:r>
      <w:r w:rsidR="00DA2588" w:rsidRPr="00DA2588">
        <w:rPr>
          <w:sz w:val="22"/>
          <w:szCs w:val="22"/>
          <w:lang w:val="bg-BG"/>
        </w:rPr>
        <w:t>и цени</w:t>
      </w:r>
      <w:r w:rsidR="00DA2588">
        <w:rPr>
          <w:sz w:val="22"/>
          <w:szCs w:val="22"/>
          <w:lang w:val="bg-BG"/>
        </w:rPr>
        <w:t xml:space="preserve"> в лева</w:t>
      </w:r>
      <w:r w:rsidR="00712D5B">
        <w:rPr>
          <w:sz w:val="22"/>
          <w:szCs w:val="22"/>
          <w:lang w:val="bg-BG"/>
        </w:rPr>
        <w:t>,</w:t>
      </w:r>
      <w:r w:rsidR="00DA2588">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w:t>
      </w:r>
      <w:r w:rsidR="00DA2588" w:rsidRPr="005000CB">
        <w:rPr>
          <w:sz w:val="22"/>
          <w:szCs w:val="22"/>
          <w:lang w:val="bg-BG"/>
        </w:rPr>
        <w:t>поръчка</w:t>
      </w:r>
      <w:r w:rsidR="00712D5B" w:rsidRPr="005000CB">
        <w:rPr>
          <w:sz w:val="22"/>
          <w:szCs w:val="22"/>
          <w:lang w:val="bg-BG"/>
        </w:rPr>
        <w:t>.</w:t>
      </w:r>
      <w:r w:rsidR="00712D5B">
        <w:rPr>
          <w:sz w:val="22"/>
          <w:szCs w:val="22"/>
          <w:lang w:val="bg-BG"/>
        </w:rPr>
        <w:t xml:space="preserve"> </w:t>
      </w:r>
      <w:r w:rsidR="003E4445">
        <w:rPr>
          <w:sz w:val="22"/>
          <w:szCs w:val="22"/>
          <w:lang w:val="bg-BG"/>
        </w:rPr>
        <w:t xml:space="preserve"> </w:t>
      </w:r>
    </w:p>
    <w:p w:rsidR="00BE71FA" w:rsidRDefault="00591626" w:rsidP="00DA2588">
      <w:pPr>
        <w:rPr>
          <w:sz w:val="22"/>
          <w:szCs w:val="22"/>
          <w:lang w:val="bg-BG"/>
        </w:rPr>
      </w:pPr>
      <w:r>
        <w:rPr>
          <w:sz w:val="22"/>
          <w:szCs w:val="22"/>
          <w:lang w:val="bg-BG"/>
        </w:rPr>
        <w:t xml:space="preserve">     6. Предлаганата единична цена на </w:t>
      </w:r>
      <w:r w:rsidR="00990D65" w:rsidRPr="00D46AF1">
        <w:rPr>
          <w:sz w:val="22"/>
          <w:szCs w:val="22"/>
          <w:lang w:val="bg-BG"/>
        </w:rPr>
        <w:t>„Проектиране на локална отоплителна инсталация на природен газ, на производствени халета, административни и битови сгради, както и технически работилници в локомотивно депо Пловдив“</w:t>
      </w:r>
      <w:r>
        <w:rPr>
          <w:sz w:val="22"/>
          <w:szCs w:val="22"/>
          <w:lang w:val="bg-BG"/>
        </w:rPr>
        <w:t>, се формира в лева, стойност до два знака след десетичната запетая за съответната мерна единица, с включено всички присъщи разходи без ДДС и не подлежи на увеличение</w:t>
      </w:r>
      <w:r w:rsidR="00023BD3">
        <w:rPr>
          <w:sz w:val="22"/>
          <w:szCs w:val="22"/>
          <w:lang w:val="bg-BG"/>
        </w:rPr>
        <w:t>.</w:t>
      </w:r>
      <w:bookmarkStart w:id="0" w:name="_GoBack"/>
      <w:bookmarkEnd w:id="0"/>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При разлика меж</w:t>
      </w:r>
      <w:r w:rsidRPr="00990D65">
        <w:rPr>
          <w:sz w:val="22"/>
          <w:szCs w:val="22"/>
          <w:u w:val="none"/>
          <w:lang w:val="bg-BG"/>
        </w:rPr>
        <w:t>ду</w:t>
      </w:r>
      <w:r w:rsidRPr="002E23F3">
        <w:rPr>
          <w:sz w:val="22"/>
          <w:szCs w:val="22"/>
          <w:u w:val="none"/>
          <w:lang w:val="bg-BG"/>
        </w:rPr>
        <w:t xml:space="preserve">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990D65" w:rsidRDefault="003E4445" w:rsidP="00387413">
      <w:pPr>
        <w:tabs>
          <w:tab w:val="left" w:pos="10065"/>
        </w:tabs>
        <w:ind w:right="313"/>
        <w:rPr>
          <w:sz w:val="24"/>
          <w:szCs w:val="24"/>
          <w:lang w:val="bg-BG"/>
        </w:rPr>
      </w:pPr>
      <w:r>
        <w:rPr>
          <w:sz w:val="22"/>
          <w:szCs w:val="22"/>
          <w:lang w:val="bg-BG"/>
        </w:rPr>
        <w:t xml:space="preserve">      </w:t>
      </w:r>
      <w:r w:rsidR="00591626">
        <w:rPr>
          <w:sz w:val="22"/>
          <w:szCs w:val="22"/>
          <w:lang w:val="bg-BG"/>
        </w:rPr>
        <w:t>7</w:t>
      </w:r>
      <w:r w:rsidR="000B457F">
        <w:rPr>
          <w:sz w:val="22"/>
          <w:szCs w:val="22"/>
          <w:lang w:val="bg-BG"/>
        </w:rPr>
        <w:t xml:space="preserve">. Условия и начин на плащане: </w:t>
      </w:r>
      <w:r w:rsidR="00990D65" w:rsidRPr="00990D65">
        <w:rPr>
          <w:color w:val="000000"/>
          <w:sz w:val="22"/>
          <w:szCs w:val="22"/>
          <w:lang w:val="bg-BG" w:eastAsia="bg-BG"/>
        </w:rPr>
        <w:t>30% авансово и 70% окончателно плащане, съгласно условията на договора. Предложената цена за проектиране на горепосочения обект следва да бъде формирана въз основа на общия обем на работа по всички части на проекта.</w:t>
      </w:r>
    </w:p>
    <w:p w:rsidR="002F2971" w:rsidRPr="003E4445" w:rsidRDefault="003E4445" w:rsidP="00591626">
      <w:pPr>
        <w:rPr>
          <w:sz w:val="22"/>
          <w:szCs w:val="22"/>
          <w:lang w:val="bg-BG"/>
        </w:rPr>
      </w:pPr>
      <w:r>
        <w:rPr>
          <w:sz w:val="22"/>
          <w:szCs w:val="22"/>
          <w:lang w:val="bg-BG"/>
        </w:rPr>
        <w:t xml:space="preserve">     </w:t>
      </w:r>
      <w:r>
        <w:rPr>
          <w:sz w:val="22"/>
          <w:szCs w:val="22"/>
          <w:lang w:val="ru-RU"/>
        </w:rPr>
        <w:t xml:space="preserve"> </w:t>
      </w:r>
      <w:r w:rsidR="00591626">
        <w:rPr>
          <w:sz w:val="22"/>
          <w:szCs w:val="22"/>
          <w:lang w:val="ru-RU"/>
        </w:rPr>
        <w:t>8</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3630F8">
        <w:rPr>
          <w:i/>
          <w:sz w:val="22"/>
          <w:szCs w:val="22"/>
          <w:lang w:val="bg-BG"/>
        </w:rPr>
        <w:t>календарни дни</w:t>
      </w:r>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3D2DE3" w:rsidP="006B6518">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6B6518" w:rsidRDefault="003D2DE3" w:rsidP="00990D65">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990D65" w:rsidRDefault="00990D65"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387413">
      <w:pgSz w:w="12240" w:h="15840"/>
      <w:pgMar w:top="284" w:right="474"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11C" w:rsidRDefault="0064611C" w:rsidP="00841CAC">
      <w:r>
        <w:separator/>
      </w:r>
    </w:p>
  </w:endnote>
  <w:endnote w:type="continuationSeparator" w:id="0">
    <w:p w:rsidR="0064611C" w:rsidRDefault="0064611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11C" w:rsidRDefault="0064611C" w:rsidP="00841CAC">
      <w:r>
        <w:separator/>
      </w:r>
    </w:p>
  </w:footnote>
  <w:footnote w:type="continuationSeparator" w:id="0">
    <w:p w:rsidR="0064611C" w:rsidRDefault="0064611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0">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7">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7"/>
  </w:num>
  <w:num w:numId="11">
    <w:abstractNumId w:val="15"/>
  </w:num>
  <w:num w:numId="12">
    <w:abstractNumId w:val="29"/>
  </w:num>
  <w:num w:numId="13">
    <w:abstractNumId w:val="13"/>
  </w:num>
  <w:num w:numId="14">
    <w:abstractNumId w:val="10"/>
  </w:num>
  <w:num w:numId="15">
    <w:abstractNumId w:val="3"/>
  </w:num>
  <w:num w:numId="16">
    <w:abstractNumId w:val="27"/>
  </w:num>
  <w:num w:numId="17">
    <w:abstractNumId w:val="31"/>
  </w:num>
  <w:num w:numId="18">
    <w:abstractNumId w:val="9"/>
  </w:num>
  <w:num w:numId="19">
    <w:abstractNumId w:val="20"/>
  </w:num>
  <w:num w:numId="20">
    <w:abstractNumId w:val="16"/>
  </w:num>
  <w:num w:numId="21">
    <w:abstractNumId w:val="32"/>
  </w:num>
  <w:num w:numId="22">
    <w:abstractNumId w:val="30"/>
  </w:num>
  <w:num w:numId="23">
    <w:abstractNumId w:val="34"/>
  </w:num>
  <w:num w:numId="24">
    <w:abstractNumId w:val="11"/>
  </w:num>
  <w:num w:numId="25">
    <w:abstractNumId w:val="14"/>
  </w:num>
  <w:num w:numId="26">
    <w:abstractNumId w:val="23"/>
  </w:num>
  <w:num w:numId="27">
    <w:abstractNumId w:val="26"/>
  </w:num>
  <w:num w:numId="28">
    <w:abstractNumId w:val="4"/>
  </w:num>
  <w:num w:numId="29">
    <w:abstractNumId w:val="8"/>
  </w:num>
  <w:num w:numId="30">
    <w:abstractNumId w:val="22"/>
  </w:num>
  <w:num w:numId="31">
    <w:abstractNumId w:val="33"/>
  </w:num>
  <w:num w:numId="32">
    <w:abstractNumId w:val="6"/>
  </w:num>
  <w:num w:numId="33">
    <w:abstractNumId w:val="21"/>
  </w:num>
  <w:num w:numId="34">
    <w:abstractNumId w:val="18"/>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6071"/>
    <w:rsid w:val="0002083E"/>
    <w:rsid w:val="00020B1E"/>
    <w:rsid w:val="00023BD3"/>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413"/>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1626"/>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11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2655"/>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1630"/>
    <w:rsid w:val="00973B6B"/>
    <w:rsid w:val="009741A3"/>
    <w:rsid w:val="00975AD9"/>
    <w:rsid w:val="00981D89"/>
    <w:rsid w:val="00982172"/>
    <w:rsid w:val="0098258C"/>
    <w:rsid w:val="00982F88"/>
    <w:rsid w:val="00990D65"/>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50A89"/>
    <w:rsid w:val="00B6640E"/>
    <w:rsid w:val="00B67FAB"/>
    <w:rsid w:val="00B73D1B"/>
    <w:rsid w:val="00B75688"/>
    <w:rsid w:val="00B75BD8"/>
    <w:rsid w:val="00B77123"/>
    <w:rsid w:val="00B77680"/>
    <w:rsid w:val="00B92201"/>
    <w:rsid w:val="00B94EA6"/>
    <w:rsid w:val="00BB27DC"/>
    <w:rsid w:val="00BC1692"/>
    <w:rsid w:val="00BC59A0"/>
    <w:rsid w:val="00BD1119"/>
    <w:rsid w:val="00BD3408"/>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6AF1"/>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0FF4"/>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016"/>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BF5"/>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28154665">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D3A2-2BD1-4843-8EA5-611BE6C4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79</cp:revision>
  <cp:lastPrinted>2019-11-04T06:36:00Z</cp:lastPrinted>
  <dcterms:created xsi:type="dcterms:W3CDTF">2019-08-05T09:00:00Z</dcterms:created>
  <dcterms:modified xsi:type="dcterms:W3CDTF">2019-11-14T09:35:00Z</dcterms:modified>
</cp:coreProperties>
</file>