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173E20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 w:rsidRPr="002747F9">
        <w:rPr>
          <w:rFonts w:eastAsia="Verdana-Bold"/>
          <w:b/>
          <w:bCs/>
          <w:sz w:val="24"/>
          <w:szCs w:val="24"/>
          <w:lang w:val="bg-BG" w:eastAsia="en-US"/>
        </w:rPr>
        <w:t>Приложение №</w:t>
      </w:r>
      <w:r w:rsidRPr="002747F9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r w:rsidR="00173E20">
        <w:rPr>
          <w:rFonts w:eastAsia="Verdana-Bold"/>
          <w:b/>
          <w:bCs/>
          <w:sz w:val="24"/>
          <w:szCs w:val="24"/>
          <w:lang w:val="bg-BG" w:eastAsia="en-US"/>
        </w:rPr>
        <w:t>4</w:t>
      </w:r>
    </w:p>
    <w:p w:rsidR="00CD2E23" w:rsidRPr="002747F9" w:rsidRDefault="002747F9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Образец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95478F">
      <w:pPr>
        <w:shd w:val="clear" w:color="auto" w:fill="FFFFFF"/>
        <w:tabs>
          <w:tab w:val="left" w:leader="underscore" w:pos="8726"/>
        </w:tabs>
        <w:spacing w:before="142" w:line="276" w:lineRule="auto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CD2E23" w:rsidRPr="002E30C5" w:rsidRDefault="00CD2E23" w:rsidP="0095478F">
      <w:pPr>
        <w:pStyle w:val="NoSpacing"/>
        <w:jc w:val="both"/>
        <w:rPr>
          <w:b/>
          <w:color w:val="000000"/>
          <w:spacing w:val="-5"/>
          <w:lang w:val="bg-BG"/>
        </w:rPr>
      </w:pPr>
      <w:r w:rsidRPr="00985293">
        <w:rPr>
          <w:lang w:val="bg-BG"/>
        </w:rPr>
        <w:t xml:space="preserve">с ЕГН: ..................................., в качеството ми на ...................... </w:t>
      </w:r>
      <w:r w:rsidRPr="00985293">
        <w:rPr>
          <w:i/>
          <w:iCs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lang w:val="bg-BG"/>
        </w:rPr>
        <w:t xml:space="preserve">на ...................................... </w:t>
      </w:r>
      <w:r w:rsidRPr="00985293">
        <w:rPr>
          <w:i/>
          <w:iCs/>
          <w:lang w:val="bg-BG"/>
        </w:rPr>
        <w:t xml:space="preserve">(посочете </w:t>
      </w:r>
      <w:proofErr w:type="spellStart"/>
      <w:r w:rsidRPr="00985293">
        <w:rPr>
          <w:i/>
          <w:iCs/>
          <w:lang w:val="bg-BG"/>
        </w:rPr>
        <w:t>правноорганизационната</w:t>
      </w:r>
      <w:proofErr w:type="spellEnd"/>
      <w:r w:rsidRPr="00985293">
        <w:rPr>
          <w:i/>
          <w:iCs/>
          <w:lang w:val="bg-BG"/>
        </w:rPr>
        <w:t xml:space="preserve"> форма на кандидата/участника/подизпълнителя), </w:t>
      </w:r>
      <w:r w:rsidRPr="00985293">
        <w:rPr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.........................,</w:t>
      </w:r>
      <w:r w:rsidRPr="00985293">
        <w:rPr>
          <w:spacing w:val="1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lang w:val="bg-BG"/>
        </w:rPr>
        <w:t xml:space="preserve">обществена поръчка </w:t>
      </w:r>
      <w:r w:rsidR="006D0B80">
        <w:rPr>
          <w:lang w:val="bg-BG"/>
        </w:rPr>
        <w:t xml:space="preserve">публично състезание </w:t>
      </w:r>
      <w:r>
        <w:rPr>
          <w:lang w:val="bg-BG"/>
        </w:rPr>
        <w:t xml:space="preserve">по реда </w:t>
      </w:r>
      <w:r w:rsidR="00C767A1">
        <w:rPr>
          <w:lang w:val="bg-BG"/>
        </w:rPr>
        <w:t xml:space="preserve">на </w:t>
      </w:r>
      <w:r w:rsidRPr="00985293">
        <w:rPr>
          <w:lang w:val="bg-BG"/>
        </w:rPr>
        <w:t>ЗОП, с предмет</w:t>
      </w:r>
      <w:r w:rsidRPr="002D158F">
        <w:rPr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lang w:val="bg-BG"/>
        </w:rPr>
        <w:t xml:space="preserve"> </w:t>
      </w:r>
      <w:r w:rsidR="002E30C5">
        <w:rPr>
          <w:b/>
        </w:rPr>
        <w:t>„</w:t>
      </w:r>
      <w:r w:rsidR="002E30C5">
        <w:rPr>
          <w:b/>
          <w:lang w:val="bg-BG"/>
        </w:rPr>
        <w:t>Д</w:t>
      </w:r>
      <w:proofErr w:type="spellStart"/>
      <w:r w:rsidR="002E30C5">
        <w:rPr>
          <w:b/>
        </w:rPr>
        <w:t>оставка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на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технически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газове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за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нуждите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на</w:t>
      </w:r>
      <w:proofErr w:type="spellEnd"/>
      <w:r w:rsidR="002E30C5">
        <w:rPr>
          <w:b/>
        </w:rPr>
        <w:t xml:space="preserve"> „БДЖ-</w:t>
      </w:r>
      <w:r w:rsidR="002E30C5">
        <w:rPr>
          <w:b/>
          <w:lang w:val="bg-BG"/>
        </w:rPr>
        <w:t>П</w:t>
      </w:r>
      <w:proofErr w:type="spellStart"/>
      <w:r w:rsidR="002E30C5">
        <w:rPr>
          <w:b/>
        </w:rPr>
        <w:t>ътнически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превози</w:t>
      </w:r>
      <w:proofErr w:type="spellEnd"/>
      <w:r w:rsidR="002E30C5">
        <w:rPr>
          <w:b/>
        </w:rPr>
        <w:t xml:space="preserve">” ЕООД </w:t>
      </w:r>
      <w:proofErr w:type="spellStart"/>
      <w:r w:rsidR="002E30C5">
        <w:rPr>
          <w:b/>
        </w:rPr>
        <w:t>за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период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от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три</w:t>
      </w:r>
      <w:proofErr w:type="spellEnd"/>
      <w:r w:rsidR="002E30C5">
        <w:rPr>
          <w:b/>
        </w:rPr>
        <w:t xml:space="preserve"> </w:t>
      </w:r>
      <w:proofErr w:type="spellStart"/>
      <w:r w:rsidR="002E30C5">
        <w:rPr>
          <w:b/>
        </w:rPr>
        <w:t>години</w:t>
      </w:r>
      <w:proofErr w:type="spellEnd"/>
      <w:r w:rsidR="002E30C5">
        <w:rPr>
          <w:b/>
        </w:rPr>
        <w:t>”</w:t>
      </w:r>
      <w:r w:rsidR="004C49F4">
        <w:rPr>
          <w:b/>
          <w:lang w:val="bg-BG"/>
        </w:rPr>
        <w:t>,</w:t>
      </w:r>
      <w:r w:rsidR="002E30C5">
        <w:rPr>
          <w:b/>
          <w:lang w:val="en-US"/>
        </w:rPr>
        <w:t xml:space="preserve"> </w:t>
      </w:r>
      <w:r w:rsidR="002E30C5">
        <w:rPr>
          <w:b/>
          <w:lang w:val="bg-BG"/>
        </w:rPr>
        <w:t>разделена на 7 /седем/ обособени позиции.</w:t>
      </w:r>
    </w:p>
    <w:p w:rsidR="004C49F4" w:rsidRDefault="004C49F4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1C39AE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1C39AE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BC7715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D6179E">
      <w:pPr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lastRenderedPageBreak/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D6179E">
      <w:pPr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D6179E">
      <w:pPr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9A4CCB">
      <w:pPr>
        <w:spacing w:line="276" w:lineRule="auto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pStyle w:val="BodyText"/>
        <w:spacing w:line="276" w:lineRule="auto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9A4CCB">
      <w:pPr>
        <w:spacing w:line="276" w:lineRule="auto"/>
        <w:rPr>
          <w:sz w:val="24"/>
          <w:szCs w:val="24"/>
          <w:lang w:val="bg-BG"/>
        </w:rPr>
      </w:pPr>
    </w:p>
    <w:p w:rsidR="00CD2E23" w:rsidRDefault="00CD2E23" w:rsidP="009A4CCB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 w:line="276" w:lineRule="auto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9A4CCB">
      <w:pPr>
        <w:spacing w:line="276" w:lineRule="auto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9A4CCB">
      <w:pPr>
        <w:pStyle w:val="BodyTextIndent"/>
        <w:spacing w:line="276" w:lineRule="auto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„Юрисдикции с преференциален данъчен режим”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>Актуалният списък на държавите 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„Контрол”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 xml:space="preserve">§ 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lastRenderedPageBreak/>
        <w:t>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lastRenderedPageBreak/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9A4CCB">
      <w:pPr>
        <w:pStyle w:val="BodyTextIndent2"/>
        <w:spacing w:line="276" w:lineRule="auto"/>
      </w:pPr>
      <w:r>
        <w:t xml:space="preserve"> </w:t>
      </w:r>
    </w:p>
    <w:p w:rsidR="00CD2E23" w:rsidRDefault="00CD2E23" w:rsidP="009A4CCB">
      <w:pPr>
        <w:pStyle w:val="BodyTextIndent2"/>
        <w:spacing w:line="276" w:lineRule="auto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5. (нова - ДВ, бр. 48 от 2016 г., в сила от 01.07.2016 г.) дружеството, регистрирано в юрисдикция с преференциален данъчен режим, е местно лице за данъчни цели на </w:t>
      </w:r>
      <w:r>
        <w:rPr>
          <w:i/>
          <w:color w:val="000000"/>
          <w:sz w:val="24"/>
          <w:szCs w:val="24"/>
          <w:lang w:val="bg-BG"/>
        </w:rPr>
        <w:lastRenderedPageBreak/>
        <w:t>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9A4CCB">
      <w:pPr>
        <w:spacing w:line="276" w:lineRule="auto"/>
        <w:jc w:val="both"/>
        <w:rPr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rPr>
          <w:sz w:val="24"/>
          <w:szCs w:val="24"/>
        </w:rPr>
      </w:pPr>
    </w:p>
    <w:p w:rsidR="00CD2E23" w:rsidRDefault="00CD2E23" w:rsidP="009A4CCB">
      <w:pPr>
        <w:spacing w:line="276" w:lineRule="auto"/>
      </w:pPr>
    </w:p>
    <w:p w:rsidR="00CD2E23" w:rsidRDefault="00CD2E23" w:rsidP="009A4CCB">
      <w:pPr>
        <w:spacing w:line="276" w:lineRule="auto"/>
      </w:pPr>
    </w:p>
    <w:p w:rsidR="00004618" w:rsidRDefault="00004618" w:rsidP="009A4CCB">
      <w:pPr>
        <w:spacing w:line="276" w:lineRule="auto"/>
      </w:pPr>
    </w:p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30100"/>
    <w:rsid w:val="00172925"/>
    <w:rsid w:val="00173E20"/>
    <w:rsid w:val="00186367"/>
    <w:rsid w:val="001C39AE"/>
    <w:rsid w:val="002017AC"/>
    <w:rsid w:val="00201E47"/>
    <w:rsid w:val="002058FD"/>
    <w:rsid w:val="00220BBE"/>
    <w:rsid w:val="00255490"/>
    <w:rsid w:val="002747F9"/>
    <w:rsid w:val="002823C1"/>
    <w:rsid w:val="002E30C5"/>
    <w:rsid w:val="002E71A3"/>
    <w:rsid w:val="002F7DC8"/>
    <w:rsid w:val="00363CEF"/>
    <w:rsid w:val="003C7F88"/>
    <w:rsid w:val="00461E6C"/>
    <w:rsid w:val="00474FD4"/>
    <w:rsid w:val="00493919"/>
    <w:rsid w:val="004C49F4"/>
    <w:rsid w:val="0050249A"/>
    <w:rsid w:val="005445D9"/>
    <w:rsid w:val="00547295"/>
    <w:rsid w:val="005D2AA1"/>
    <w:rsid w:val="005D7C94"/>
    <w:rsid w:val="006B1684"/>
    <w:rsid w:val="006D0B80"/>
    <w:rsid w:val="007104ED"/>
    <w:rsid w:val="00744298"/>
    <w:rsid w:val="007C2E6D"/>
    <w:rsid w:val="00844517"/>
    <w:rsid w:val="00851F00"/>
    <w:rsid w:val="0085246B"/>
    <w:rsid w:val="0087035E"/>
    <w:rsid w:val="00880D39"/>
    <w:rsid w:val="0093038B"/>
    <w:rsid w:val="0095478F"/>
    <w:rsid w:val="0095531E"/>
    <w:rsid w:val="009A4CCB"/>
    <w:rsid w:val="009C1297"/>
    <w:rsid w:val="009F672C"/>
    <w:rsid w:val="00A34404"/>
    <w:rsid w:val="00A63768"/>
    <w:rsid w:val="00AB6B90"/>
    <w:rsid w:val="00BC7715"/>
    <w:rsid w:val="00C767A1"/>
    <w:rsid w:val="00C90C3E"/>
    <w:rsid w:val="00CA1721"/>
    <w:rsid w:val="00CA24EF"/>
    <w:rsid w:val="00CD2E23"/>
    <w:rsid w:val="00CF67E8"/>
    <w:rsid w:val="00D6179E"/>
    <w:rsid w:val="00D84230"/>
    <w:rsid w:val="00E07582"/>
    <w:rsid w:val="00E57FAB"/>
    <w:rsid w:val="00EB7C6B"/>
    <w:rsid w:val="00FA3792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  <w:style w:type="paragraph" w:styleId="NoSpacing">
    <w:name w:val="No Spacing"/>
    <w:uiPriority w:val="1"/>
    <w:qFormat/>
    <w:rsid w:val="0095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2200</Words>
  <Characters>12546</Characters>
  <Application>Microsoft Office Word</Application>
  <DocSecurity>0</DocSecurity>
  <Lines>104</Lines>
  <Paragraphs>29</Paragraphs>
  <ScaleCrop>false</ScaleCrop>
  <Company/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24</cp:revision>
  <cp:lastPrinted>2019-12-09T08:50:00Z</cp:lastPrinted>
  <dcterms:created xsi:type="dcterms:W3CDTF">2019-06-20T11:24:00Z</dcterms:created>
  <dcterms:modified xsi:type="dcterms:W3CDTF">2020-03-31T07:03:00Z</dcterms:modified>
</cp:coreProperties>
</file>