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B9" w:rsidRPr="002342CB" w:rsidRDefault="00894EB9" w:rsidP="00894EB9">
      <w:pPr>
        <w:rPr>
          <w:sz w:val="24"/>
          <w:szCs w:val="24"/>
          <w:lang w:val="ru-RU"/>
        </w:rPr>
      </w:pPr>
    </w:p>
    <w:p w:rsidR="00894EB9" w:rsidRDefault="00894EB9" w:rsidP="00894EB9">
      <w:pPr>
        <w:rPr>
          <w:b/>
          <w:sz w:val="24"/>
          <w:szCs w:val="24"/>
          <w:lang w:val="ru-RU"/>
        </w:rPr>
      </w:pPr>
    </w:p>
    <w:p w:rsidR="00BD5D93" w:rsidRDefault="00B625F4" w:rsidP="00894EB9">
      <w:pPr>
        <w:rPr>
          <w:b/>
          <w:sz w:val="24"/>
          <w:szCs w:val="24"/>
          <w:lang w:val="ru-RU"/>
        </w:rPr>
      </w:pPr>
      <w:r>
        <w:rPr>
          <w:b/>
          <w:sz w:val="24"/>
          <w:szCs w:val="24"/>
        </w:rPr>
        <w:t xml:space="preserve">14. </w:t>
      </w:r>
      <w:r w:rsidR="00DE3E90">
        <w:rPr>
          <w:b/>
          <w:sz w:val="24"/>
          <w:szCs w:val="24"/>
          <w:lang w:val="ru-RU"/>
        </w:rPr>
        <w:t>0</w:t>
      </w:r>
      <w:r w:rsidR="00DE3E90">
        <w:rPr>
          <w:b/>
          <w:sz w:val="24"/>
          <w:szCs w:val="24"/>
        </w:rPr>
        <w:t>7</w:t>
      </w:r>
      <w:r w:rsidR="00DE3E90">
        <w:rPr>
          <w:b/>
          <w:sz w:val="24"/>
          <w:szCs w:val="24"/>
          <w:lang w:val="ru-RU"/>
        </w:rPr>
        <w:t>.201</w:t>
      </w:r>
      <w:r w:rsidR="00DE3E90">
        <w:rPr>
          <w:b/>
          <w:sz w:val="24"/>
          <w:szCs w:val="24"/>
        </w:rPr>
        <w:t>6</w:t>
      </w:r>
      <w:r w:rsidR="00BD5D93">
        <w:rPr>
          <w:b/>
          <w:sz w:val="24"/>
          <w:szCs w:val="24"/>
          <w:lang w:val="ru-RU"/>
        </w:rPr>
        <w:t xml:space="preserve"> г.</w:t>
      </w:r>
    </w:p>
    <w:p w:rsidR="00BD5D93" w:rsidRDefault="00BD5D93" w:rsidP="00894EB9">
      <w:pPr>
        <w:rPr>
          <w:b/>
          <w:sz w:val="24"/>
          <w:szCs w:val="24"/>
          <w:lang w:val="ru-RU"/>
        </w:rPr>
      </w:pPr>
    </w:p>
    <w:p w:rsidR="0062220A" w:rsidRDefault="0062220A" w:rsidP="00894EB9">
      <w:pPr>
        <w:pStyle w:val="BodyTextIndent"/>
        <w:ind w:firstLine="0"/>
        <w:rPr>
          <w:szCs w:val="24"/>
          <w:lang w:val="ru-RU"/>
        </w:rPr>
      </w:pPr>
    </w:p>
    <w:p w:rsidR="000E57C2" w:rsidRPr="000E57C2" w:rsidRDefault="000E57C2" w:rsidP="00D1599A">
      <w:pPr>
        <w:jc w:val="center"/>
        <w:rPr>
          <w:b/>
          <w:sz w:val="28"/>
          <w:szCs w:val="28"/>
        </w:rPr>
      </w:pPr>
      <w:r w:rsidRPr="000E57C2">
        <w:rPr>
          <w:b/>
          <w:sz w:val="28"/>
          <w:szCs w:val="28"/>
        </w:rPr>
        <w:t>С Ъ О Б Щ Е Н И Е</w:t>
      </w:r>
    </w:p>
    <w:p w:rsidR="000E57C2" w:rsidRPr="000E57C2" w:rsidRDefault="000E57C2" w:rsidP="000E57C2">
      <w:pPr>
        <w:pStyle w:val="BodyTextIndent3"/>
        <w:tabs>
          <w:tab w:val="left" w:pos="90"/>
          <w:tab w:val="left" w:pos="720"/>
        </w:tabs>
        <w:ind w:left="1440" w:hanging="1440"/>
        <w:jc w:val="center"/>
        <w:rPr>
          <w:rFonts w:ascii="Times New Roman" w:hAnsi="Times New Roman"/>
          <w:b/>
          <w:sz w:val="28"/>
          <w:szCs w:val="28"/>
        </w:rPr>
      </w:pPr>
    </w:p>
    <w:p w:rsidR="000E57C2" w:rsidRPr="000E57C2" w:rsidRDefault="000E57C2" w:rsidP="000E57C2">
      <w:pPr>
        <w:pStyle w:val="BodyTextIndent3"/>
        <w:tabs>
          <w:tab w:val="left" w:pos="90"/>
          <w:tab w:val="left" w:pos="720"/>
        </w:tabs>
        <w:ind w:left="1440" w:hanging="1440"/>
        <w:jc w:val="center"/>
        <w:rPr>
          <w:rFonts w:ascii="Times New Roman" w:hAnsi="Times New Roman"/>
          <w:b/>
          <w:szCs w:val="24"/>
          <w:lang w:val="ru-RU"/>
        </w:rPr>
      </w:pPr>
      <w:r w:rsidRPr="000E57C2">
        <w:rPr>
          <w:rFonts w:ascii="Times New Roman" w:hAnsi="Times New Roman"/>
          <w:b/>
          <w:szCs w:val="24"/>
        </w:rPr>
        <w:t>от</w:t>
      </w:r>
    </w:p>
    <w:p w:rsidR="000E57C2" w:rsidRPr="000E57C2" w:rsidRDefault="000E57C2" w:rsidP="000E57C2">
      <w:pPr>
        <w:pStyle w:val="BodyTextIndent3"/>
        <w:tabs>
          <w:tab w:val="left" w:pos="90"/>
          <w:tab w:val="left" w:pos="720"/>
        </w:tabs>
        <w:ind w:left="1440" w:hanging="1440"/>
        <w:jc w:val="center"/>
        <w:rPr>
          <w:rFonts w:ascii="Times New Roman" w:hAnsi="Times New Roman"/>
          <w:b/>
          <w:szCs w:val="24"/>
        </w:rPr>
      </w:pPr>
    </w:p>
    <w:p w:rsidR="000E57C2" w:rsidRDefault="00F52DFD" w:rsidP="000E57C2">
      <w:pPr>
        <w:pStyle w:val="Heading3"/>
        <w:jc w:val="center"/>
        <w:rPr>
          <w:szCs w:val="24"/>
        </w:rPr>
      </w:pPr>
      <w:r>
        <w:rPr>
          <w:szCs w:val="24"/>
          <w:lang w:val="en-US"/>
        </w:rPr>
        <w:t xml:space="preserve">                  </w:t>
      </w:r>
      <w:r w:rsidR="000E57C2" w:rsidRPr="000E57C2">
        <w:rPr>
          <w:szCs w:val="24"/>
        </w:rPr>
        <w:t xml:space="preserve">Комисията,  назначена със </w:t>
      </w:r>
      <w:r w:rsidR="000E57C2" w:rsidRPr="000E57C2">
        <w:rPr>
          <w:color w:val="000000"/>
          <w:szCs w:val="24"/>
        </w:rPr>
        <w:t xml:space="preserve">Заповед </w:t>
      </w:r>
      <w:r w:rsidR="000E57C2" w:rsidRPr="000E57C2">
        <w:rPr>
          <w:color w:val="000000"/>
          <w:szCs w:val="24"/>
          <w:lang w:val="ru-RU"/>
        </w:rPr>
        <w:t>№</w:t>
      </w:r>
      <w:r>
        <w:rPr>
          <w:color w:val="000000"/>
          <w:szCs w:val="24"/>
        </w:rPr>
        <w:t xml:space="preserve"> </w:t>
      </w:r>
      <w:r w:rsidR="00DE3E90">
        <w:rPr>
          <w:color w:val="000000"/>
        </w:rPr>
        <w:t>304 /11</w:t>
      </w:r>
      <w:r w:rsidR="00DE3E90" w:rsidRPr="007277E8">
        <w:rPr>
          <w:color w:val="000000"/>
        </w:rPr>
        <w:t>.</w:t>
      </w:r>
      <w:r w:rsidR="00DE3E90">
        <w:rPr>
          <w:color w:val="000000"/>
        </w:rPr>
        <w:t>05</w:t>
      </w:r>
      <w:r w:rsidR="00DE3E90" w:rsidRPr="007277E8">
        <w:rPr>
          <w:color w:val="000000"/>
        </w:rPr>
        <w:t>.201</w:t>
      </w:r>
      <w:r w:rsidR="00DE3E90">
        <w:rPr>
          <w:color w:val="000000"/>
        </w:rPr>
        <w:t>6</w:t>
      </w:r>
      <w:r w:rsidR="00DE3E90" w:rsidRPr="007277E8">
        <w:rPr>
          <w:color w:val="000000"/>
        </w:rPr>
        <w:t xml:space="preserve"> г</w:t>
      </w:r>
      <w:r w:rsidR="00DE3E90">
        <w:rPr>
          <w:color w:val="000000"/>
          <w:lang w:val="en-US"/>
        </w:rPr>
        <w:t>.</w:t>
      </w:r>
      <w:r w:rsidR="00DE3E90">
        <w:rPr>
          <w:color w:val="000000"/>
          <w:szCs w:val="24"/>
          <w:lang w:val="en-US"/>
        </w:rPr>
        <w:t xml:space="preserve"> </w:t>
      </w:r>
      <w:r w:rsidRPr="00221C1B">
        <w:rPr>
          <w:szCs w:val="24"/>
          <w:lang w:val="ru-RU"/>
        </w:rPr>
        <w:t>на</w:t>
      </w:r>
      <w:r w:rsidRPr="00C47082">
        <w:rPr>
          <w:color w:val="C00000"/>
          <w:szCs w:val="24"/>
          <w:lang w:val="ru-RU"/>
        </w:rPr>
        <w:t xml:space="preserve"> </w:t>
      </w:r>
      <w:r w:rsidRPr="00EB7FE5">
        <w:rPr>
          <w:szCs w:val="24"/>
          <w:lang w:val="ru-RU"/>
        </w:rPr>
        <w:t>Управител</w:t>
      </w:r>
      <w:r w:rsidRPr="00EB7FE5">
        <w:rPr>
          <w:szCs w:val="24"/>
        </w:rPr>
        <w:t>я</w:t>
      </w:r>
      <w:r w:rsidRPr="00EB7FE5">
        <w:rPr>
          <w:szCs w:val="24"/>
          <w:lang w:val="ru-RU"/>
        </w:rPr>
        <w:t xml:space="preserve"> на „БДЖ – </w:t>
      </w:r>
      <w:r w:rsidRPr="00EB7FE5">
        <w:rPr>
          <w:szCs w:val="24"/>
        </w:rPr>
        <w:t>Пътнически</w:t>
      </w:r>
      <w:r w:rsidRPr="00EB7FE5">
        <w:rPr>
          <w:szCs w:val="24"/>
          <w:lang w:val="ru-RU"/>
        </w:rPr>
        <w:t xml:space="preserve"> превози” ЕООД</w:t>
      </w:r>
      <w:r w:rsidR="000E57C2" w:rsidRPr="000E57C2">
        <w:rPr>
          <w:szCs w:val="24"/>
        </w:rPr>
        <w:t xml:space="preserve"> </w:t>
      </w:r>
    </w:p>
    <w:p w:rsidR="000E57C2" w:rsidRPr="000E57C2" w:rsidRDefault="000E57C2" w:rsidP="000E57C2">
      <w:pPr>
        <w:rPr>
          <w:sz w:val="24"/>
          <w:szCs w:val="24"/>
          <w:lang w:val="bg-BG"/>
        </w:rPr>
      </w:pPr>
    </w:p>
    <w:p w:rsidR="000E57C2" w:rsidRPr="00F91F2E" w:rsidRDefault="000E57C2" w:rsidP="00F52DFD">
      <w:pPr>
        <w:jc w:val="both"/>
        <w:rPr>
          <w:i/>
          <w:sz w:val="24"/>
          <w:szCs w:val="24"/>
        </w:rPr>
      </w:pPr>
      <w:r w:rsidRPr="00F52DFD">
        <w:rPr>
          <w:i/>
          <w:sz w:val="24"/>
          <w:szCs w:val="24"/>
          <w:lang w:val="bg-BG"/>
        </w:rPr>
        <w:t xml:space="preserve">за провеждане на открита процедура по реда на ЗОП </w:t>
      </w:r>
      <w:r w:rsidR="00F52DFD" w:rsidRPr="00F52DFD">
        <w:rPr>
          <w:i/>
          <w:sz w:val="24"/>
          <w:szCs w:val="24"/>
          <w:lang w:val="bg-BG"/>
        </w:rPr>
        <w:t>с предмет</w:t>
      </w:r>
      <w:r w:rsidR="00DE3E90">
        <w:rPr>
          <w:i/>
          <w:sz w:val="24"/>
          <w:szCs w:val="24"/>
        </w:rPr>
        <w:t>:</w:t>
      </w:r>
      <w:r w:rsidR="00F52DFD" w:rsidRPr="00F52DFD">
        <w:rPr>
          <w:i/>
          <w:sz w:val="24"/>
          <w:szCs w:val="24"/>
          <w:lang w:val="bg-BG"/>
        </w:rPr>
        <w:t xml:space="preserve"> </w:t>
      </w:r>
      <w:r w:rsidR="00DE3E90">
        <w:rPr>
          <w:sz w:val="24"/>
          <w:szCs w:val="24"/>
          <w:lang w:val="bg-BG"/>
        </w:rPr>
        <w:t>„</w:t>
      </w:r>
      <w:r w:rsidR="00DE3E90" w:rsidRPr="00DE3E90">
        <w:rPr>
          <w:i/>
          <w:sz w:val="24"/>
          <w:szCs w:val="24"/>
          <w:lang w:val="bg-BG"/>
        </w:rPr>
        <w:t>Предоставяне на финансови услуги от банкови институции за нуждите на „БДЖ-Пътнически превози”ЕООД”</w:t>
      </w:r>
      <w:r w:rsidR="00DE3E90">
        <w:rPr>
          <w:sz w:val="24"/>
          <w:szCs w:val="24"/>
        </w:rPr>
        <w:t xml:space="preserve">, </w:t>
      </w:r>
      <w:r w:rsidR="00DE3E90">
        <w:rPr>
          <w:i/>
          <w:sz w:val="24"/>
          <w:szCs w:val="24"/>
          <w:lang w:val="bg-BG"/>
        </w:rPr>
        <w:t>открита с Решение №</w:t>
      </w:r>
      <w:r w:rsidR="00DE3E90">
        <w:rPr>
          <w:i/>
          <w:sz w:val="24"/>
          <w:szCs w:val="24"/>
        </w:rPr>
        <w:t>19</w:t>
      </w:r>
      <w:r w:rsidR="00DE3E90">
        <w:rPr>
          <w:i/>
          <w:sz w:val="24"/>
          <w:szCs w:val="24"/>
          <w:lang w:val="bg-BG"/>
        </w:rPr>
        <w:t>/</w:t>
      </w:r>
      <w:r w:rsidR="00DE3E90">
        <w:rPr>
          <w:i/>
          <w:sz w:val="24"/>
          <w:szCs w:val="24"/>
        </w:rPr>
        <w:t>31</w:t>
      </w:r>
      <w:r w:rsidR="00DE3E90">
        <w:rPr>
          <w:i/>
          <w:sz w:val="24"/>
          <w:szCs w:val="24"/>
          <w:lang w:val="bg-BG"/>
        </w:rPr>
        <w:t>.0</w:t>
      </w:r>
      <w:r w:rsidR="00DE3E90">
        <w:rPr>
          <w:i/>
          <w:sz w:val="24"/>
          <w:szCs w:val="24"/>
        </w:rPr>
        <w:t>3</w:t>
      </w:r>
      <w:r w:rsidR="00DE3E90">
        <w:rPr>
          <w:i/>
          <w:sz w:val="24"/>
          <w:szCs w:val="24"/>
          <w:lang w:val="bg-BG"/>
        </w:rPr>
        <w:t>.201</w:t>
      </w:r>
      <w:r w:rsidR="00DE3E90">
        <w:rPr>
          <w:i/>
          <w:sz w:val="24"/>
          <w:szCs w:val="24"/>
        </w:rPr>
        <w:t>6</w:t>
      </w:r>
      <w:r w:rsidR="00F52DFD" w:rsidRPr="00F52DFD">
        <w:rPr>
          <w:i/>
          <w:sz w:val="24"/>
          <w:szCs w:val="24"/>
          <w:lang w:val="bg-BG"/>
        </w:rPr>
        <w:t xml:space="preserve"> г. на Управителя на „БДЖ-Пътнически превози” ЕООД, с уникален номер в регистъра на АОП №</w:t>
      </w:r>
      <w:r w:rsidR="00DE3E90">
        <w:rPr>
          <w:i/>
          <w:sz w:val="24"/>
          <w:szCs w:val="24"/>
        </w:rPr>
        <w:t xml:space="preserve"> </w:t>
      </w:r>
      <w:r w:rsidR="00DE3E90" w:rsidRPr="00DE3E90">
        <w:rPr>
          <w:i/>
          <w:sz w:val="24"/>
          <w:szCs w:val="24"/>
          <w:lang w:val="bg-BG"/>
        </w:rPr>
        <w:t>01605-201</w:t>
      </w:r>
      <w:r w:rsidR="00DE3E90" w:rsidRPr="00DE3E90">
        <w:rPr>
          <w:i/>
          <w:sz w:val="24"/>
          <w:szCs w:val="24"/>
        </w:rPr>
        <w:t>6</w:t>
      </w:r>
      <w:r w:rsidR="00DE3E90" w:rsidRPr="00DE3E90">
        <w:rPr>
          <w:i/>
          <w:sz w:val="24"/>
          <w:szCs w:val="24"/>
          <w:lang w:val="bg-BG"/>
        </w:rPr>
        <w:t>-001</w:t>
      </w:r>
      <w:r w:rsidR="00DE3E90" w:rsidRPr="00DE3E90">
        <w:rPr>
          <w:i/>
          <w:sz w:val="24"/>
          <w:szCs w:val="24"/>
        </w:rPr>
        <w:t>3</w:t>
      </w:r>
      <w:r w:rsidR="00DE3E90">
        <w:rPr>
          <w:sz w:val="24"/>
          <w:szCs w:val="24"/>
          <w:lang w:val="bg-BG"/>
        </w:rPr>
        <w:t xml:space="preserve"> </w:t>
      </w:r>
    </w:p>
    <w:p w:rsidR="000E57C2" w:rsidRPr="00107185" w:rsidRDefault="000E57C2" w:rsidP="000E57C2">
      <w:pPr>
        <w:tabs>
          <w:tab w:val="left" w:pos="-426"/>
        </w:tabs>
        <w:jc w:val="both"/>
        <w:rPr>
          <w:sz w:val="24"/>
          <w:szCs w:val="24"/>
          <w:lang w:val="bg-BG"/>
        </w:rPr>
      </w:pPr>
    </w:p>
    <w:p w:rsidR="00F52DFD" w:rsidRDefault="000E57C2" w:rsidP="000E57C2">
      <w:pPr>
        <w:tabs>
          <w:tab w:val="left" w:pos="-426"/>
        </w:tabs>
        <w:jc w:val="both"/>
        <w:rPr>
          <w:sz w:val="24"/>
          <w:szCs w:val="24"/>
          <w:lang w:val="ru-RU"/>
        </w:rPr>
      </w:pPr>
      <w:r w:rsidRPr="00107185">
        <w:rPr>
          <w:sz w:val="24"/>
          <w:szCs w:val="24"/>
        </w:rPr>
        <w:tab/>
      </w:r>
      <w:r w:rsidRPr="00107185">
        <w:rPr>
          <w:sz w:val="24"/>
          <w:szCs w:val="24"/>
          <w:lang w:val="ru-RU"/>
        </w:rPr>
        <w:t xml:space="preserve">На основание чл. 69а, ал. 3 от ЗОП, Ви уведомяваме, че заседанието на комисията по отваряне и оповестяване на ценовите оферти на допуснатите участници в горепосочената процедура, ще се </w:t>
      </w:r>
      <w:r w:rsidRPr="00107185">
        <w:rPr>
          <w:sz w:val="24"/>
          <w:szCs w:val="24"/>
        </w:rPr>
        <w:t>състои</w:t>
      </w:r>
      <w:r w:rsidRPr="00107185">
        <w:rPr>
          <w:sz w:val="24"/>
          <w:szCs w:val="24"/>
          <w:lang w:val="ru-RU"/>
        </w:rPr>
        <w:t xml:space="preserve"> на </w:t>
      </w:r>
      <w:r w:rsidR="00FB2503">
        <w:rPr>
          <w:b/>
          <w:sz w:val="24"/>
          <w:szCs w:val="24"/>
        </w:rPr>
        <w:t>20</w:t>
      </w:r>
      <w:r w:rsidRPr="00BD5D93">
        <w:rPr>
          <w:b/>
          <w:sz w:val="24"/>
          <w:szCs w:val="24"/>
        </w:rPr>
        <w:t>.</w:t>
      </w:r>
      <w:r w:rsidR="00DE3E90">
        <w:rPr>
          <w:b/>
          <w:sz w:val="24"/>
          <w:szCs w:val="24"/>
          <w:lang w:val="bg-BG"/>
        </w:rPr>
        <w:t>0</w:t>
      </w:r>
      <w:r w:rsidR="00DE3E90">
        <w:rPr>
          <w:b/>
          <w:sz w:val="24"/>
          <w:szCs w:val="24"/>
        </w:rPr>
        <w:t>7</w:t>
      </w:r>
      <w:r w:rsidRPr="00BD5D93">
        <w:rPr>
          <w:b/>
          <w:sz w:val="24"/>
          <w:szCs w:val="24"/>
        </w:rPr>
        <w:t>.201</w:t>
      </w:r>
      <w:r w:rsidR="00814105">
        <w:rPr>
          <w:b/>
          <w:sz w:val="24"/>
          <w:szCs w:val="24"/>
        </w:rPr>
        <w:t>6</w:t>
      </w:r>
      <w:r w:rsidRPr="00BD5D93">
        <w:rPr>
          <w:b/>
          <w:sz w:val="24"/>
          <w:szCs w:val="24"/>
        </w:rPr>
        <w:t xml:space="preserve"> </w:t>
      </w:r>
      <w:r w:rsidR="006626C8">
        <w:rPr>
          <w:b/>
          <w:sz w:val="24"/>
          <w:szCs w:val="24"/>
          <w:lang w:val="ru-RU"/>
        </w:rPr>
        <w:t xml:space="preserve"> г. от 1</w:t>
      </w:r>
      <w:r w:rsidR="00DE3E90">
        <w:rPr>
          <w:b/>
          <w:sz w:val="24"/>
          <w:szCs w:val="24"/>
        </w:rPr>
        <w:t>0</w:t>
      </w:r>
      <w:r w:rsidRPr="00BD5D93">
        <w:rPr>
          <w:b/>
          <w:sz w:val="24"/>
          <w:szCs w:val="24"/>
          <w:lang w:val="ru-RU"/>
        </w:rPr>
        <w:t>:00 часа</w:t>
      </w:r>
      <w:r w:rsidRPr="00107185">
        <w:rPr>
          <w:sz w:val="24"/>
          <w:szCs w:val="24"/>
          <w:lang w:val="ru-RU"/>
        </w:rPr>
        <w:t>, в</w:t>
      </w:r>
      <w:r w:rsidRPr="00107185">
        <w:rPr>
          <w:sz w:val="24"/>
          <w:szCs w:val="24"/>
        </w:rPr>
        <w:t xml:space="preserve"> сградата на  “БДЖ – Пътнически превози” ЕООД, находяща се на адрес: гр. София, ул.”Иван Вазов” № 3.</w:t>
      </w:r>
    </w:p>
    <w:p w:rsidR="000E57C2" w:rsidRPr="00107185" w:rsidRDefault="000E57C2" w:rsidP="000E57C2">
      <w:pPr>
        <w:tabs>
          <w:tab w:val="left" w:pos="-426"/>
        </w:tabs>
        <w:jc w:val="both"/>
        <w:rPr>
          <w:sz w:val="24"/>
          <w:szCs w:val="24"/>
          <w:lang w:val="ru-RU"/>
        </w:rPr>
      </w:pPr>
      <w:r w:rsidRPr="00107185">
        <w:rPr>
          <w:sz w:val="24"/>
          <w:szCs w:val="24"/>
          <w:lang w:val="ru-RU"/>
        </w:rPr>
        <w:tab/>
      </w:r>
    </w:p>
    <w:p w:rsidR="00D237E5" w:rsidRPr="00107185" w:rsidRDefault="000E57C2" w:rsidP="00D237E5">
      <w:pPr>
        <w:tabs>
          <w:tab w:val="left" w:pos="-426"/>
        </w:tabs>
        <w:jc w:val="both"/>
        <w:rPr>
          <w:sz w:val="24"/>
          <w:szCs w:val="24"/>
          <w:lang w:val="ru-RU"/>
        </w:rPr>
      </w:pPr>
      <w:r w:rsidRPr="00107185">
        <w:rPr>
          <w:sz w:val="24"/>
          <w:szCs w:val="24"/>
          <w:lang w:val="ru-RU"/>
        </w:rPr>
        <w:tab/>
        <w:t>На заседанието по отваряне и оповестяване на ценовите оферти имат право да присъстват участниците в процедурата или техни упълномощени представители, както и представители на юридическите лица с нестопанска цел и на средствата за масово осведомяване</w:t>
      </w:r>
      <w:r w:rsidR="00D237E5" w:rsidRPr="00D237E5">
        <w:rPr>
          <w:sz w:val="24"/>
          <w:szCs w:val="24"/>
          <w:lang w:val="bg-BG"/>
        </w:rPr>
        <w:t xml:space="preserve"> </w:t>
      </w:r>
      <w:r w:rsidR="00D237E5">
        <w:rPr>
          <w:sz w:val="24"/>
          <w:szCs w:val="24"/>
          <w:lang w:val="bg-BG"/>
        </w:rPr>
        <w:t>и други лица при спазване на установения режим за достъп до сградата, в която се извършва отварянето.</w:t>
      </w:r>
    </w:p>
    <w:p w:rsidR="000E57C2" w:rsidRPr="00D237E5" w:rsidRDefault="000E57C2" w:rsidP="000E57C2">
      <w:pPr>
        <w:tabs>
          <w:tab w:val="left" w:pos="-426"/>
        </w:tabs>
        <w:jc w:val="both"/>
        <w:rPr>
          <w:sz w:val="24"/>
          <w:szCs w:val="24"/>
        </w:rPr>
      </w:pPr>
    </w:p>
    <w:p w:rsidR="000E57C2" w:rsidRPr="00D1599A" w:rsidRDefault="00F52DFD" w:rsidP="00F52DFD">
      <w:pPr>
        <w:jc w:val="both"/>
        <w:rPr>
          <w:sz w:val="24"/>
          <w:lang w:val="bg-BG"/>
        </w:rPr>
      </w:pPr>
      <w:r w:rsidRPr="00D1599A">
        <w:rPr>
          <w:sz w:val="24"/>
          <w:szCs w:val="24"/>
          <w:lang w:val="bg-BG"/>
        </w:rPr>
        <w:t xml:space="preserve">             </w:t>
      </w:r>
      <w:r w:rsidR="00FB2503" w:rsidRPr="00D1599A">
        <w:rPr>
          <w:sz w:val="24"/>
          <w:szCs w:val="24"/>
          <w:lang w:val="ru-RU"/>
        </w:rPr>
        <w:t>Резултатите от оцен</w:t>
      </w:r>
      <w:r w:rsidR="00FB2503" w:rsidRPr="00D1599A">
        <w:rPr>
          <w:sz w:val="24"/>
          <w:szCs w:val="24"/>
          <w:lang w:val="bg-BG"/>
        </w:rPr>
        <w:t xml:space="preserve">яването </w:t>
      </w:r>
      <w:r w:rsidR="00FB2503" w:rsidRPr="00D1599A">
        <w:rPr>
          <w:sz w:val="24"/>
          <w:szCs w:val="24"/>
          <w:lang w:val="ru-RU"/>
        </w:rPr>
        <w:t xml:space="preserve">на офертите на допуснатите участници </w:t>
      </w:r>
      <w:r w:rsidR="00FB2503" w:rsidRPr="00D1599A">
        <w:rPr>
          <w:sz w:val="24"/>
          <w:szCs w:val="24"/>
          <w:lang w:val="bg-BG"/>
        </w:rPr>
        <w:t xml:space="preserve">по </w:t>
      </w:r>
      <w:r w:rsidR="00FB2503" w:rsidRPr="00D1599A">
        <w:rPr>
          <w:b/>
          <w:sz w:val="24"/>
          <w:szCs w:val="24"/>
          <w:lang w:val="bg-BG"/>
        </w:rPr>
        <w:t xml:space="preserve">неколичествените показатели  за оценка </w:t>
      </w:r>
      <w:r w:rsidR="00FB2503" w:rsidRPr="00D1599A">
        <w:rPr>
          <w:b/>
          <w:sz w:val="24"/>
          <w:szCs w:val="24"/>
        </w:rPr>
        <w:t>(</w:t>
      </w:r>
      <w:r w:rsidR="00FB2503" w:rsidRPr="00D1599A">
        <w:rPr>
          <w:b/>
          <w:sz w:val="24"/>
          <w:szCs w:val="24"/>
          <w:lang w:val="bg-BG"/>
        </w:rPr>
        <w:t>К</w:t>
      </w:r>
      <w:r w:rsidR="00FB2503" w:rsidRPr="00D1599A">
        <w:rPr>
          <w:b/>
          <w:sz w:val="24"/>
          <w:szCs w:val="24"/>
        </w:rPr>
        <w:t>n</w:t>
      </w:r>
      <w:r w:rsidR="00560E36" w:rsidRPr="00D1599A">
        <w:rPr>
          <w:b/>
          <w:sz w:val="24"/>
          <w:szCs w:val="24"/>
        </w:rPr>
        <w:t>),</w:t>
      </w:r>
      <w:r w:rsidR="00560E36" w:rsidRPr="00D1599A">
        <w:rPr>
          <w:sz w:val="24"/>
          <w:szCs w:val="24"/>
        </w:rPr>
        <w:t xml:space="preserve"> </w:t>
      </w:r>
      <w:r w:rsidR="00FB2503" w:rsidRPr="00D1599A">
        <w:rPr>
          <w:sz w:val="24"/>
          <w:szCs w:val="24"/>
          <w:lang w:val="bg-BG"/>
        </w:rPr>
        <w:t>съгласно Методиката за определяне на комплексна оценка на офертите, са,</w:t>
      </w:r>
      <w:r w:rsidR="009706ED" w:rsidRPr="00D1599A">
        <w:rPr>
          <w:sz w:val="24"/>
          <w:lang w:val="bg-BG"/>
        </w:rPr>
        <w:t xml:space="preserve"> както следва</w:t>
      </w:r>
      <w:r w:rsidR="009706ED" w:rsidRPr="00D1599A">
        <w:rPr>
          <w:sz w:val="24"/>
        </w:rPr>
        <w:t>:</w:t>
      </w:r>
    </w:p>
    <w:p w:rsidR="00FD2455" w:rsidRPr="00FD2455" w:rsidRDefault="00FD2455" w:rsidP="00F52DFD">
      <w:pPr>
        <w:jc w:val="both"/>
        <w:rPr>
          <w:b/>
          <w:sz w:val="24"/>
          <w:lang w:val="bg-BG"/>
        </w:rPr>
      </w:pPr>
    </w:p>
    <w:p w:rsidR="00494303" w:rsidRPr="00756B52" w:rsidRDefault="00494303" w:rsidP="00494303">
      <w:pPr>
        <w:jc w:val="both"/>
        <w:rPr>
          <w:color w:val="000000"/>
          <w:sz w:val="16"/>
          <w:szCs w:val="16"/>
          <w:lang w:val="bg-BG"/>
        </w:rPr>
      </w:pPr>
      <w:r>
        <w:rPr>
          <w:b/>
          <w:sz w:val="24"/>
          <w:szCs w:val="24"/>
          <w:lang w:val="bg-BG"/>
        </w:rPr>
        <w:t xml:space="preserve">           1.</w:t>
      </w:r>
      <w:r>
        <w:rPr>
          <w:b/>
          <w:color w:val="000000"/>
          <w:sz w:val="24"/>
          <w:szCs w:val="24"/>
          <w:lang w:val="bg-BG"/>
        </w:rPr>
        <w:t xml:space="preserve"> „ОБЕДИНЕНА БЪЛГАРСКА БАНКА” -  </w:t>
      </w:r>
      <w:r w:rsidR="00B55C92">
        <w:rPr>
          <w:b/>
          <w:color w:val="000000"/>
          <w:sz w:val="24"/>
          <w:szCs w:val="24"/>
          <w:lang w:val="bg-BG"/>
        </w:rPr>
        <w:t xml:space="preserve">общо </w:t>
      </w:r>
      <w:r>
        <w:rPr>
          <w:b/>
          <w:color w:val="000000"/>
          <w:sz w:val="24"/>
          <w:szCs w:val="24"/>
          <w:u w:val="single"/>
        </w:rPr>
        <w:t>62,81</w:t>
      </w:r>
      <w:r w:rsidRPr="00E36979">
        <w:rPr>
          <w:b/>
          <w:color w:val="000000"/>
          <w:sz w:val="24"/>
          <w:szCs w:val="24"/>
          <w:u w:val="single"/>
        </w:rPr>
        <w:t xml:space="preserve"> </w:t>
      </w:r>
      <w:r>
        <w:rPr>
          <w:b/>
          <w:sz w:val="24"/>
          <w:szCs w:val="24"/>
          <w:u w:val="single"/>
          <w:lang w:val="bg-BG"/>
        </w:rPr>
        <w:t>точки, в т.ч.</w:t>
      </w:r>
      <w:r>
        <w:rPr>
          <w:b/>
          <w:sz w:val="24"/>
          <w:szCs w:val="24"/>
          <w:u w:val="single"/>
        </w:rPr>
        <w:t>:</w:t>
      </w:r>
      <w:r w:rsidRPr="00FE7F0D">
        <w:rPr>
          <w:color w:val="000000"/>
          <w:sz w:val="16"/>
          <w:szCs w:val="16"/>
        </w:rPr>
        <w:t xml:space="preserve"> </w:t>
      </w:r>
    </w:p>
    <w:p w:rsidR="00494303" w:rsidRDefault="00494303" w:rsidP="00494303">
      <w:pPr>
        <w:jc w:val="both"/>
        <w:rPr>
          <w:color w:val="000000"/>
          <w:sz w:val="16"/>
          <w:szCs w:val="16"/>
        </w:rPr>
      </w:pPr>
      <w:r>
        <w:rPr>
          <w:color w:val="000000"/>
          <w:sz w:val="16"/>
          <w:szCs w:val="16"/>
          <w:lang w:val="bg-BG"/>
        </w:rPr>
        <w:t xml:space="preserve">        - </w:t>
      </w:r>
      <w:r w:rsidRPr="00FE7F0D">
        <w:rPr>
          <w:color w:val="000000"/>
          <w:sz w:val="24"/>
          <w:szCs w:val="24"/>
          <w:lang w:val="bg-BG"/>
        </w:rPr>
        <w:t xml:space="preserve">за показател </w:t>
      </w:r>
      <w:r w:rsidRPr="00FE7F0D">
        <w:rPr>
          <w:color w:val="000000"/>
          <w:sz w:val="24"/>
          <w:szCs w:val="24"/>
        </w:rPr>
        <w:t>1. Развитиe на клоновата мрежа - брой населени места, в които банката има поделения, клонове (населено място, адрес на клонове, контакти)</w:t>
      </w:r>
      <w:r>
        <w:rPr>
          <w:color w:val="000000"/>
          <w:sz w:val="24"/>
          <w:szCs w:val="24"/>
          <w:lang w:val="bg-BG"/>
        </w:rPr>
        <w:t xml:space="preserve"> </w:t>
      </w:r>
      <w:r w:rsidRPr="00FE7F0D">
        <w:rPr>
          <w:color w:val="000000"/>
          <w:sz w:val="24"/>
          <w:szCs w:val="24"/>
          <w:lang w:val="bg-BG"/>
        </w:rPr>
        <w:t>-</w:t>
      </w:r>
      <w:r>
        <w:rPr>
          <w:color w:val="000000"/>
          <w:sz w:val="24"/>
          <w:szCs w:val="24"/>
          <w:lang w:val="bg-BG"/>
        </w:rPr>
        <w:t xml:space="preserve"> </w:t>
      </w:r>
      <w:r w:rsidRPr="00FE7F0D">
        <w:rPr>
          <w:color w:val="000000"/>
          <w:sz w:val="24"/>
          <w:szCs w:val="24"/>
          <w:lang w:val="bg-BG"/>
        </w:rPr>
        <w:t>27,92 т</w:t>
      </w:r>
      <w:r>
        <w:rPr>
          <w:color w:val="000000"/>
          <w:sz w:val="24"/>
          <w:szCs w:val="24"/>
          <w:lang w:val="bg-BG"/>
        </w:rPr>
        <w:t>очки</w:t>
      </w:r>
      <w:r>
        <w:rPr>
          <w:color w:val="000000"/>
          <w:sz w:val="16"/>
          <w:szCs w:val="16"/>
        </w:rPr>
        <w:t>;</w:t>
      </w:r>
    </w:p>
    <w:p w:rsidR="00494303" w:rsidRDefault="00494303" w:rsidP="00494303">
      <w:pPr>
        <w:jc w:val="both"/>
        <w:rPr>
          <w:color w:val="000000"/>
          <w:sz w:val="24"/>
          <w:szCs w:val="24"/>
        </w:rPr>
      </w:pPr>
      <w:r>
        <w:rPr>
          <w:color w:val="000000"/>
          <w:sz w:val="16"/>
          <w:szCs w:val="16"/>
        </w:rPr>
        <w:t xml:space="preserve">       - </w:t>
      </w:r>
      <w:r w:rsidRPr="00756B52">
        <w:rPr>
          <w:color w:val="000000"/>
          <w:sz w:val="24"/>
          <w:szCs w:val="24"/>
          <w:lang w:val="bg-BG"/>
        </w:rPr>
        <w:t xml:space="preserve">за показател 2. </w:t>
      </w:r>
      <w:r w:rsidRPr="00756B52">
        <w:rPr>
          <w:color w:val="000000"/>
          <w:sz w:val="24"/>
          <w:szCs w:val="24"/>
        </w:rPr>
        <w:t>Надеждност на платформата за интернет банкиране - защитни механизми (посочват се изрично от участника)</w:t>
      </w:r>
      <w:r w:rsidRPr="00756B52">
        <w:rPr>
          <w:color w:val="000000"/>
          <w:sz w:val="24"/>
          <w:szCs w:val="24"/>
          <w:lang w:val="bg-BG"/>
        </w:rPr>
        <w:t xml:space="preserve"> – 0,</w:t>
      </w:r>
      <w:r>
        <w:rPr>
          <w:color w:val="000000"/>
          <w:sz w:val="24"/>
          <w:szCs w:val="24"/>
          <w:lang w:val="bg-BG"/>
        </w:rPr>
        <w:t>89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3.</w:t>
      </w:r>
      <w:r w:rsidRPr="00756B52">
        <w:rPr>
          <w:color w:val="000000"/>
          <w:sz w:val="16"/>
          <w:szCs w:val="16"/>
        </w:rPr>
        <w:t xml:space="preserve"> </w:t>
      </w:r>
      <w:r w:rsidRPr="00756B52">
        <w:rPr>
          <w:color w:val="000000"/>
          <w:sz w:val="24"/>
          <w:szCs w:val="24"/>
        </w:rPr>
        <w:t xml:space="preserve">Срок за обслужване на плащанията от момента на нареждането им чрез платформата за интернет банкиране </w:t>
      </w:r>
      <w:r>
        <w:rPr>
          <w:color w:val="000000"/>
          <w:sz w:val="24"/>
          <w:szCs w:val="24"/>
        </w:rPr>
        <w:t>–</w:t>
      </w:r>
      <w:r w:rsidRPr="00756B52">
        <w:rPr>
          <w:color w:val="000000"/>
          <w:sz w:val="24"/>
          <w:szCs w:val="24"/>
        </w:rPr>
        <w:t xml:space="preserve"> </w:t>
      </w:r>
      <w:r>
        <w:rPr>
          <w:color w:val="000000"/>
          <w:sz w:val="24"/>
          <w:szCs w:val="24"/>
          <w:lang w:val="bg-BG"/>
        </w:rPr>
        <w:t>2,00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4. </w:t>
      </w:r>
      <w:r w:rsidRPr="00756B52">
        <w:rPr>
          <w:color w:val="000000"/>
          <w:sz w:val="24"/>
          <w:szCs w:val="24"/>
        </w:rPr>
        <w:t xml:space="preserve">Актуален дългосрочен кредитен рейтинг на участника </w:t>
      </w:r>
      <w:r w:rsidRPr="00756B52">
        <w:rPr>
          <w:color w:val="000000"/>
          <w:sz w:val="24"/>
          <w:szCs w:val="24"/>
          <w:u w:val="single"/>
        </w:rPr>
        <w:t>или</w:t>
      </w:r>
      <w:r w:rsidRPr="00756B52">
        <w:rPr>
          <w:color w:val="000000"/>
          <w:sz w:val="24"/>
          <w:szCs w:val="24"/>
        </w:rPr>
        <w:t xml:space="preserve"> компанията-майка на участника, присъден от една от следните рейтингови агенции: Standard &amp; Poor's, Fitch Ratings, Moody’s, БАКР ил</w:t>
      </w:r>
      <w:r>
        <w:rPr>
          <w:color w:val="000000"/>
          <w:sz w:val="24"/>
          <w:szCs w:val="24"/>
        </w:rPr>
        <w:t>и др. международно-признати АКР</w:t>
      </w:r>
      <w:r>
        <w:rPr>
          <w:color w:val="000000"/>
          <w:sz w:val="24"/>
          <w:szCs w:val="24"/>
          <w:lang w:val="bg-BG"/>
        </w:rPr>
        <w:t xml:space="preserve"> – 1,00 точка</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5</w:t>
      </w:r>
      <w:r>
        <w:rPr>
          <w:color w:val="000000"/>
          <w:sz w:val="24"/>
          <w:szCs w:val="24"/>
          <w:lang w:val="bg-BG"/>
        </w:rPr>
        <w:t>.</w:t>
      </w:r>
      <w:r w:rsidRPr="00756B52">
        <w:rPr>
          <w:color w:val="000000"/>
          <w:sz w:val="16"/>
          <w:szCs w:val="16"/>
          <w:u w:val="single"/>
        </w:rPr>
        <w:t xml:space="preserve"> </w:t>
      </w:r>
      <w:r w:rsidRPr="00756B52">
        <w:rPr>
          <w:color w:val="000000"/>
          <w:sz w:val="24"/>
          <w:szCs w:val="24"/>
          <w:u w:val="single"/>
        </w:rPr>
        <w:t>Отношение на обща капиталова адекватност</w:t>
      </w:r>
      <w:r w:rsidRPr="00756B52">
        <w:rPr>
          <w:color w:val="000000"/>
          <w:sz w:val="24"/>
          <w:szCs w:val="24"/>
        </w:rPr>
        <w:t>, изчислена към края на последния приключен тримесечен отчетен пе</w:t>
      </w:r>
      <w:r>
        <w:rPr>
          <w:color w:val="000000"/>
          <w:sz w:val="24"/>
          <w:szCs w:val="24"/>
        </w:rPr>
        <w:t xml:space="preserve">риод съгласно методиката на БНБ – 30,00 </w:t>
      </w:r>
      <w:r>
        <w:rPr>
          <w:color w:val="000000"/>
          <w:sz w:val="24"/>
          <w:szCs w:val="24"/>
          <w:lang w:val="bg-BG"/>
        </w:rPr>
        <w:t>точки</w:t>
      </w:r>
      <w:r>
        <w:rPr>
          <w:color w:val="000000"/>
          <w:sz w:val="24"/>
          <w:szCs w:val="24"/>
        </w:rPr>
        <w:t>;</w:t>
      </w:r>
    </w:p>
    <w:p w:rsidR="00494303" w:rsidRDefault="00494303" w:rsidP="00494303">
      <w:pPr>
        <w:jc w:val="both"/>
        <w:rPr>
          <w:color w:val="000000"/>
          <w:sz w:val="24"/>
          <w:szCs w:val="24"/>
          <w:lang w:val="bg-BG"/>
        </w:rPr>
      </w:pPr>
      <w:r>
        <w:rPr>
          <w:color w:val="000000"/>
          <w:sz w:val="24"/>
          <w:szCs w:val="24"/>
        </w:rPr>
        <w:t xml:space="preserve">    -  </w:t>
      </w:r>
      <w:r>
        <w:rPr>
          <w:color w:val="000000"/>
          <w:sz w:val="24"/>
          <w:szCs w:val="24"/>
          <w:lang w:val="bg-BG"/>
        </w:rPr>
        <w:t xml:space="preserve">за показател </w:t>
      </w:r>
      <w:r>
        <w:rPr>
          <w:color w:val="000000"/>
          <w:sz w:val="24"/>
          <w:szCs w:val="24"/>
        </w:rPr>
        <w:t xml:space="preserve">6. </w:t>
      </w:r>
      <w:r w:rsidRPr="0058580D">
        <w:rPr>
          <w:color w:val="000000"/>
          <w:sz w:val="24"/>
          <w:szCs w:val="24"/>
          <w:u w:val="single"/>
        </w:rPr>
        <w:t>Коефициент на ликвидните активи</w:t>
      </w:r>
      <w:r w:rsidRPr="0058580D">
        <w:rPr>
          <w:color w:val="000000"/>
          <w:sz w:val="24"/>
          <w:szCs w:val="24"/>
        </w:rPr>
        <w:t>, изчислен към края на последния приключен тримесечен отчетен период съгласно методиката на БНБ</w:t>
      </w:r>
      <w:r>
        <w:rPr>
          <w:color w:val="000000"/>
          <w:sz w:val="24"/>
          <w:szCs w:val="24"/>
        </w:rPr>
        <w:t xml:space="preserve"> – 1,00</w:t>
      </w:r>
      <w:r>
        <w:rPr>
          <w:color w:val="000000"/>
          <w:sz w:val="24"/>
          <w:szCs w:val="24"/>
          <w:lang w:val="bg-BG"/>
        </w:rPr>
        <w:t xml:space="preserve"> точка</w:t>
      </w:r>
    </w:p>
    <w:p w:rsidR="00494303" w:rsidRPr="0058580D" w:rsidRDefault="00494303" w:rsidP="00494303">
      <w:pPr>
        <w:jc w:val="both"/>
        <w:rPr>
          <w:color w:val="000000"/>
          <w:sz w:val="24"/>
          <w:szCs w:val="24"/>
          <w:lang w:val="bg-BG"/>
        </w:rPr>
      </w:pPr>
    </w:p>
    <w:p w:rsidR="00494303" w:rsidRPr="00756B52" w:rsidRDefault="00494303" w:rsidP="00494303">
      <w:pPr>
        <w:jc w:val="both"/>
        <w:rPr>
          <w:color w:val="000000"/>
          <w:sz w:val="16"/>
          <w:szCs w:val="16"/>
          <w:lang w:val="bg-BG"/>
        </w:rPr>
      </w:pPr>
      <w:r>
        <w:rPr>
          <w:b/>
          <w:sz w:val="24"/>
          <w:szCs w:val="24"/>
          <w:lang w:val="bg-BG"/>
        </w:rPr>
        <w:t xml:space="preserve">      </w:t>
      </w:r>
      <w:r>
        <w:rPr>
          <w:b/>
          <w:color w:val="000000"/>
          <w:sz w:val="24"/>
          <w:szCs w:val="24"/>
          <w:lang w:val="bg-BG"/>
        </w:rPr>
        <w:t xml:space="preserve">2 „ПЪРВА ИНВЕСТИЦИОННА БАНКА”АД </w:t>
      </w:r>
      <w:r w:rsidR="00FD2455" w:rsidRPr="00B55C92">
        <w:rPr>
          <w:b/>
          <w:color w:val="000000"/>
          <w:sz w:val="24"/>
          <w:szCs w:val="24"/>
          <w:lang w:val="bg-BG"/>
        </w:rPr>
        <w:t>–</w:t>
      </w:r>
      <w:r w:rsidRPr="00B55C92">
        <w:rPr>
          <w:b/>
          <w:color w:val="000000"/>
          <w:sz w:val="24"/>
          <w:szCs w:val="24"/>
          <w:lang w:val="bg-BG"/>
        </w:rPr>
        <w:t xml:space="preserve"> </w:t>
      </w:r>
      <w:r w:rsidR="00FD2455" w:rsidRPr="00B55C92">
        <w:rPr>
          <w:b/>
          <w:color w:val="000000"/>
          <w:sz w:val="24"/>
          <w:szCs w:val="24"/>
          <w:lang w:val="bg-BG"/>
        </w:rPr>
        <w:t xml:space="preserve"> </w:t>
      </w:r>
      <w:r w:rsidR="00B55C92" w:rsidRPr="00B55C92">
        <w:rPr>
          <w:b/>
          <w:color w:val="000000"/>
          <w:sz w:val="24"/>
          <w:szCs w:val="24"/>
          <w:lang w:val="bg-BG"/>
        </w:rPr>
        <w:t xml:space="preserve">общо </w:t>
      </w:r>
      <w:r w:rsidRPr="00B55C92">
        <w:rPr>
          <w:b/>
          <w:color w:val="000000"/>
          <w:sz w:val="24"/>
          <w:szCs w:val="24"/>
          <w:u w:val="single"/>
          <w:lang w:val="bg-BG"/>
        </w:rPr>
        <w:t>21</w:t>
      </w:r>
      <w:r w:rsidRPr="00B55C92">
        <w:rPr>
          <w:b/>
          <w:color w:val="000000"/>
          <w:sz w:val="24"/>
          <w:szCs w:val="24"/>
          <w:u w:val="single"/>
        </w:rPr>
        <w:t>,</w:t>
      </w:r>
      <w:r w:rsidRPr="00B55C92">
        <w:rPr>
          <w:b/>
          <w:color w:val="000000"/>
          <w:sz w:val="24"/>
          <w:szCs w:val="24"/>
          <w:u w:val="single"/>
          <w:lang w:val="bg-BG"/>
        </w:rPr>
        <w:t>64</w:t>
      </w:r>
      <w:r w:rsidRPr="00B55C92">
        <w:rPr>
          <w:b/>
          <w:color w:val="000000"/>
          <w:sz w:val="24"/>
          <w:szCs w:val="24"/>
          <w:u w:val="single"/>
        </w:rPr>
        <w:t xml:space="preserve"> </w:t>
      </w:r>
      <w:r w:rsidRPr="00B55C92">
        <w:rPr>
          <w:b/>
          <w:sz w:val="24"/>
          <w:szCs w:val="24"/>
          <w:u w:val="single"/>
          <w:lang w:val="bg-BG"/>
        </w:rPr>
        <w:t>точки, в т.</w:t>
      </w:r>
      <w:r>
        <w:rPr>
          <w:b/>
          <w:sz w:val="24"/>
          <w:szCs w:val="24"/>
          <w:u w:val="single"/>
          <w:lang w:val="bg-BG"/>
        </w:rPr>
        <w:t>ч.</w:t>
      </w:r>
      <w:r>
        <w:rPr>
          <w:b/>
          <w:sz w:val="24"/>
          <w:szCs w:val="24"/>
          <w:u w:val="single"/>
        </w:rPr>
        <w:t>:</w:t>
      </w:r>
      <w:r w:rsidRPr="00FE7F0D">
        <w:rPr>
          <w:color w:val="000000"/>
          <w:sz w:val="16"/>
          <w:szCs w:val="16"/>
        </w:rPr>
        <w:t xml:space="preserve"> </w:t>
      </w:r>
    </w:p>
    <w:p w:rsidR="00494303" w:rsidRDefault="00494303" w:rsidP="00494303">
      <w:pPr>
        <w:jc w:val="both"/>
        <w:rPr>
          <w:color w:val="000000"/>
          <w:sz w:val="16"/>
          <w:szCs w:val="16"/>
        </w:rPr>
      </w:pPr>
      <w:r>
        <w:rPr>
          <w:color w:val="000000"/>
          <w:sz w:val="16"/>
          <w:szCs w:val="16"/>
          <w:lang w:val="bg-BG"/>
        </w:rPr>
        <w:t xml:space="preserve">        - </w:t>
      </w:r>
      <w:r w:rsidRPr="00FE7F0D">
        <w:rPr>
          <w:color w:val="000000"/>
          <w:sz w:val="24"/>
          <w:szCs w:val="24"/>
          <w:lang w:val="bg-BG"/>
        </w:rPr>
        <w:t xml:space="preserve">за показател </w:t>
      </w:r>
      <w:r w:rsidRPr="00FE7F0D">
        <w:rPr>
          <w:color w:val="000000"/>
          <w:sz w:val="24"/>
          <w:szCs w:val="24"/>
        </w:rPr>
        <w:t>1. Развитиe на клоновата мрежа - брой населени места, в които банката има поделения, клонове (населено място, адрес на клонове, контакти)</w:t>
      </w:r>
      <w:r>
        <w:rPr>
          <w:color w:val="000000"/>
          <w:sz w:val="24"/>
          <w:szCs w:val="24"/>
          <w:lang w:val="bg-BG"/>
        </w:rPr>
        <w:t xml:space="preserve"> </w:t>
      </w:r>
      <w:r w:rsidRPr="00FE7F0D">
        <w:rPr>
          <w:color w:val="000000"/>
          <w:sz w:val="24"/>
          <w:szCs w:val="24"/>
          <w:lang w:val="bg-BG"/>
        </w:rPr>
        <w:t>-</w:t>
      </w:r>
      <w:r>
        <w:rPr>
          <w:color w:val="000000"/>
          <w:sz w:val="24"/>
          <w:szCs w:val="24"/>
          <w:lang w:val="bg-BG"/>
        </w:rPr>
        <w:t xml:space="preserve">16,64 </w:t>
      </w:r>
      <w:r w:rsidRPr="00FE7F0D">
        <w:rPr>
          <w:color w:val="000000"/>
          <w:sz w:val="24"/>
          <w:szCs w:val="24"/>
          <w:lang w:val="bg-BG"/>
        </w:rPr>
        <w:t>т</w:t>
      </w:r>
      <w:r>
        <w:rPr>
          <w:color w:val="000000"/>
          <w:sz w:val="24"/>
          <w:szCs w:val="24"/>
          <w:lang w:val="bg-BG"/>
        </w:rPr>
        <w:t>очки</w:t>
      </w:r>
      <w:r>
        <w:rPr>
          <w:color w:val="000000"/>
          <w:sz w:val="16"/>
          <w:szCs w:val="16"/>
        </w:rPr>
        <w:t>;</w:t>
      </w:r>
    </w:p>
    <w:p w:rsidR="00494303" w:rsidRDefault="00494303" w:rsidP="00494303">
      <w:pPr>
        <w:jc w:val="both"/>
        <w:rPr>
          <w:color w:val="000000"/>
          <w:sz w:val="24"/>
          <w:szCs w:val="24"/>
        </w:rPr>
      </w:pPr>
      <w:r>
        <w:rPr>
          <w:color w:val="000000"/>
          <w:sz w:val="16"/>
          <w:szCs w:val="16"/>
        </w:rPr>
        <w:t xml:space="preserve">       - </w:t>
      </w:r>
      <w:r w:rsidRPr="00756B52">
        <w:rPr>
          <w:color w:val="000000"/>
          <w:sz w:val="24"/>
          <w:szCs w:val="24"/>
          <w:lang w:val="bg-BG"/>
        </w:rPr>
        <w:t xml:space="preserve">за показател 2. </w:t>
      </w:r>
      <w:r w:rsidRPr="00756B52">
        <w:rPr>
          <w:color w:val="000000"/>
          <w:sz w:val="24"/>
          <w:szCs w:val="24"/>
        </w:rPr>
        <w:t>Надеждност на платформата за интернет банкиране - защитни механизми (посочват се изрично от участника)</w:t>
      </w:r>
      <w:r w:rsidRPr="00756B52">
        <w:rPr>
          <w:color w:val="000000"/>
          <w:sz w:val="24"/>
          <w:szCs w:val="24"/>
          <w:lang w:val="bg-BG"/>
        </w:rPr>
        <w:t xml:space="preserve"> – </w:t>
      </w:r>
      <w:r>
        <w:rPr>
          <w:color w:val="000000"/>
          <w:sz w:val="24"/>
          <w:szCs w:val="24"/>
          <w:lang w:val="bg-BG"/>
        </w:rPr>
        <w:t>1</w:t>
      </w:r>
      <w:r w:rsidRPr="00756B52">
        <w:rPr>
          <w:color w:val="000000"/>
          <w:sz w:val="24"/>
          <w:szCs w:val="24"/>
          <w:lang w:val="bg-BG"/>
        </w:rPr>
        <w:t>,</w:t>
      </w:r>
      <w:r>
        <w:rPr>
          <w:color w:val="000000"/>
          <w:sz w:val="24"/>
          <w:szCs w:val="24"/>
          <w:lang w:val="bg-BG"/>
        </w:rPr>
        <w:t>00 точка</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3.</w:t>
      </w:r>
      <w:r w:rsidRPr="00756B52">
        <w:rPr>
          <w:color w:val="000000"/>
          <w:sz w:val="16"/>
          <w:szCs w:val="16"/>
        </w:rPr>
        <w:t xml:space="preserve"> </w:t>
      </w:r>
      <w:r w:rsidRPr="00756B52">
        <w:rPr>
          <w:color w:val="000000"/>
          <w:sz w:val="24"/>
          <w:szCs w:val="24"/>
        </w:rPr>
        <w:t xml:space="preserve">Срок за обслужване на плащанията от момента на нареждането им чрез платформата за интернет банкиране </w:t>
      </w:r>
      <w:r>
        <w:rPr>
          <w:color w:val="000000"/>
          <w:sz w:val="24"/>
          <w:szCs w:val="24"/>
        </w:rPr>
        <w:t>–</w:t>
      </w:r>
      <w:r w:rsidRPr="00756B52">
        <w:rPr>
          <w:color w:val="000000"/>
          <w:sz w:val="24"/>
          <w:szCs w:val="24"/>
        </w:rPr>
        <w:t xml:space="preserve"> </w:t>
      </w:r>
      <w:r>
        <w:rPr>
          <w:color w:val="000000"/>
          <w:sz w:val="24"/>
          <w:szCs w:val="24"/>
          <w:lang w:val="bg-BG"/>
        </w:rPr>
        <w:t>1,00 точка</w:t>
      </w:r>
      <w:r>
        <w:rPr>
          <w:color w:val="000000"/>
          <w:sz w:val="24"/>
          <w:szCs w:val="24"/>
        </w:rPr>
        <w:t>;</w:t>
      </w:r>
    </w:p>
    <w:p w:rsidR="00494303" w:rsidRDefault="00494303" w:rsidP="00494303">
      <w:pPr>
        <w:jc w:val="both"/>
        <w:rPr>
          <w:color w:val="000000"/>
          <w:sz w:val="24"/>
          <w:szCs w:val="24"/>
        </w:rPr>
      </w:pPr>
      <w:r>
        <w:rPr>
          <w:color w:val="000000"/>
          <w:sz w:val="24"/>
          <w:szCs w:val="24"/>
        </w:rPr>
        <w:lastRenderedPageBreak/>
        <w:t xml:space="preserve">     - </w:t>
      </w:r>
      <w:r>
        <w:rPr>
          <w:color w:val="000000"/>
          <w:sz w:val="24"/>
          <w:szCs w:val="24"/>
          <w:lang w:val="bg-BG"/>
        </w:rPr>
        <w:t xml:space="preserve">за показател 4. </w:t>
      </w:r>
      <w:r w:rsidRPr="00756B52">
        <w:rPr>
          <w:color w:val="000000"/>
          <w:sz w:val="24"/>
          <w:szCs w:val="24"/>
        </w:rPr>
        <w:t xml:space="preserve">Актуален дългосрочен кредитен рейтинг на участника </w:t>
      </w:r>
      <w:r w:rsidRPr="00756B52">
        <w:rPr>
          <w:color w:val="000000"/>
          <w:sz w:val="24"/>
          <w:szCs w:val="24"/>
          <w:u w:val="single"/>
        </w:rPr>
        <w:t>или</w:t>
      </w:r>
      <w:r w:rsidRPr="00756B52">
        <w:rPr>
          <w:color w:val="000000"/>
          <w:sz w:val="24"/>
          <w:szCs w:val="24"/>
        </w:rPr>
        <w:t xml:space="preserve"> компанията-майка на участника, присъден от една от следните рейтингови агенции: Standard &amp; Poor's, Fitch Ratings, Moody’s, БАКР ил</w:t>
      </w:r>
      <w:r>
        <w:rPr>
          <w:color w:val="000000"/>
          <w:sz w:val="24"/>
          <w:szCs w:val="24"/>
        </w:rPr>
        <w:t>и др. международно-признати АКР</w:t>
      </w:r>
      <w:r>
        <w:rPr>
          <w:color w:val="000000"/>
          <w:sz w:val="24"/>
          <w:szCs w:val="24"/>
          <w:lang w:val="bg-BG"/>
        </w:rPr>
        <w:t xml:space="preserve"> – 1,00 точка</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5</w:t>
      </w:r>
      <w:r>
        <w:rPr>
          <w:color w:val="000000"/>
          <w:sz w:val="24"/>
          <w:szCs w:val="24"/>
          <w:lang w:val="bg-BG"/>
        </w:rPr>
        <w:t>.</w:t>
      </w:r>
      <w:r w:rsidRPr="00756B52">
        <w:rPr>
          <w:color w:val="000000"/>
          <w:sz w:val="16"/>
          <w:szCs w:val="16"/>
          <w:u w:val="single"/>
        </w:rPr>
        <w:t xml:space="preserve"> </w:t>
      </w:r>
      <w:r w:rsidRPr="00756B52">
        <w:rPr>
          <w:color w:val="000000"/>
          <w:sz w:val="24"/>
          <w:szCs w:val="24"/>
          <w:u w:val="single"/>
        </w:rPr>
        <w:t>Отношение на обща капиталова адекватност</w:t>
      </w:r>
      <w:r w:rsidRPr="00756B52">
        <w:rPr>
          <w:color w:val="000000"/>
          <w:sz w:val="24"/>
          <w:szCs w:val="24"/>
        </w:rPr>
        <w:t>, изчислена към края на последния приключен тримесечен отчетен пе</w:t>
      </w:r>
      <w:r>
        <w:rPr>
          <w:color w:val="000000"/>
          <w:sz w:val="24"/>
          <w:szCs w:val="24"/>
        </w:rPr>
        <w:t xml:space="preserve">риод съгласно методиката на БНБ – </w:t>
      </w:r>
      <w:r>
        <w:rPr>
          <w:color w:val="000000"/>
          <w:sz w:val="24"/>
          <w:szCs w:val="24"/>
          <w:lang w:val="bg-BG"/>
        </w:rPr>
        <w:t>1</w:t>
      </w:r>
      <w:r>
        <w:rPr>
          <w:color w:val="000000"/>
          <w:sz w:val="24"/>
          <w:szCs w:val="24"/>
        </w:rPr>
        <w:t xml:space="preserve">,00 </w:t>
      </w:r>
      <w:r>
        <w:rPr>
          <w:color w:val="000000"/>
          <w:sz w:val="24"/>
          <w:szCs w:val="24"/>
          <w:lang w:val="bg-BG"/>
        </w:rPr>
        <w:t>точка</w:t>
      </w:r>
      <w:r>
        <w:rPr>
          <w:color w:val="000000"/>
          <w:sz w:val="24"/>
          <w:szCs w:val="24"/>
        </w:rPr>
        <w:t>;</w:t>
      </w:r>
    </w:p>
    <w:p w:rsidR="00494303" w:rsidRDefault="00494303" w:rsidP="00494303">
      <w:pPr>
        <w:jc w:val="both"/>
        <w:rPr>
          <w:color w:val="000000"/>
          <w:sz w:val="24"/>
          <w:szCs w:val="24"/>
          <w:lang w:val="bg-BG"/>
        </w:rPr>
      </w:pPr>
      <w:r>
        <w:rPr>
          <w:color w:val="000000"/>
          <w:sz w:val="24"/>
          <w:szCs w:val="24"/>
        </w:rPr>
        <w:t xml:space="preserve">    -  </w:t>
      </w:r>
      <w:r>
        <w:rPr>
          <w:color w:val="000000"/>
          <w:sz w:val="24"/>
          <w:szCs w:val="24"/>
          <w:lang w:val="bg-BG"/>
        </w:rPr>
        <w:t xml:space="preserve">за показател </w:t>
      </w:r>
      <w:r>
        <w:rPr>
          <w:color w:val="000000"/>
          <w:sz w:val="24"/>
          <w:szCs w:val="24"/>
        </w:rPr>
        <w:t xml:space="preserve">6. </w:t>
      </w:r>
      <w:r w:rsidRPr="0058580D">
        <w:rPr>
          <w:color w:val="000000"/>
          <w:sz w:val="24"/>
          <w:szCs w:val="24"/>
          <w:u w:val="single"/>
        </w:rPr>
        <w:t>Коефициент на ликвидните активи</w:t>
      </w:r>
      <w:r w:rsidRPr="0058580D">
        <w:rPr>
          <w:color w:val="000000"/>
          <w:sz w:val="24"/>
          <w:szCs w:val="24"/>
        </w:rPr>
        <w:t>, изчислен към края на последния приключен тримесечен отчетен период съгласно методиката на БНБ</w:t>
      </w:r>
      <w:r>
        <w:rPr>
          <w:color w:val="000000"/>
          <w:sz w:val="24"/>
          <w:szCs w:val="24"/>
        </w:rPr>
        <w:t xml:space="preserve"> – 1,00</w:t>
      </w:r>
      <w:r>
        <w:rPr>
          <w:color w:val="000000"/>
          <w:sz w:val="24"/>
          <w:szCs w:val="24"/>
          <w:lang w:val="bg-BG"/>
        </w:rPr>
        <w:t xml:space="preserve"> точка.</w:t>
      </w:r>
    </w:p>
    <w:p w:rsidR="00494303" w:rsidRPr="0058580D" w:rsidRDefault="00494303" w:rsidP="00494303">
      <w:pPr>
        <w:jc w:val="both"/>
        <w:rPr>
          <w:color w:val="000000"/>
          <w:sz w:val="24"/>
          <w:szCs w:val="24"/>
          <w:lang w:val="bg-BG"/>
        </w:rPr>
      </w:pPr>
    </w:p>
    <w:p w:rsidR="00494303" w:rsidRPr="00756B52" w:rsidRDefault="00494303" w:rsidP="00494303">
      <w:pPr>
        <w:jc w:val="both"/>
        <w:rPr>
          <w:color w:val="000000"/>
          <w:sz w:val="16"/>
          <w:szCs w:val="16"/>
          <w:lang w:val="bg-BG"/>
        </w:rPr>
      </w:pPr>
      <w:r>
        <w:rPr>
          <w:b/>
          <w:color w:val="000000"/>
          <w:sz w:val="24"/>
          <w:szCs w:val="24"/>
          <w:lang w:val="bg-BG"/>
        </w:rPr>
        <w:t xml:space="preserve">        3</w:t>
      </w:r>
      <w:r w:rsidRPr="00BF5491">
        <w:rPr>
          <w:b/>
          <w:color w:val="000000"/>
          <w:sz w:val="24"/>
          <w:szCs w:val="24"/>
        </w:rPr>
        <w:t>.</w:t>
      </w:r>
      <w:r>
        <w:rPr>
          <w:b/>
          <w:color w:val="000000"/>
          <w:sz w:val="24"/>
          <w:szCs w:val="24"/>
          <w:lang w:val="bg-BG"/>
        </w:rPr>
        <w:t xml:space="preserve"> „УНИКРЕДИТ БУЛБАНК”АД </w:t>
      </w:r>
      <w:r w:rsidR="00FD2455">
        <w:rPr>
          <w:b/>
          <w:color w:val="000000"/>
          <w:sz w:val="24"/>
          <w:szCs w:val="24"/>
          <w:lang w:val="bg-BG"/>
        </w:rPr>
        <w:t>–</w:t>
      </w:r>
      <w:r>
        <w:rPr>
          <w:b/>
          <w:color w:val="000000"/>
          <w:sz w:val="24"/>
          <w:szCs w:val="24"/>
          <w:lang w:val="bg-BG"/>
        </w:rPr>
        <w:t xml:space="preserve"> </w:t>
      </w:r>
      <w:r w:rsidR="00FD2455">
        <w:rPr>
          <w:b/>
          <w:color w:val="000000"/>
          <w:sz w:val="24"/>
          <w:szCs w:val="24"/>
          <w:lang w:val="bg-BG"/>
        </w:rPr>
        <w:t xml:space="preserve"> </w:t>
      </w:r>
      <w:r w:rsidR="00B55C92">
        <w:rPr>
          <w:b/>
          <w:color w:val="000000"/>
          <w:sz w:val="24"/>
          <w:szCs w:val="24"/>
          <w:lang w:val="bg-BG"/>
        </w:rPr>
        <w:t xml:space="preserve">общо </w:t>
      </w:r>
      <w:r>
        <w:rPr>
          <w:b/>
          <w:color w:val="000000"/>
          <w:sz w:val="24"/>
          <w:szCs w:val="24"/>
          <w:u w:val="single"/>
          <w:lang w:val="bg-BG"/>
        </w:rPr>
        <w:t>79</w:t>
      </w:r>
      <w:r>
        <w:rPr>
          <w:b/>
          <w:color w:val="000000"/>
          <w:sz w:val="24"/>
          <w:szCs w:val="24"/>
          <w:u w:val="single"/>
        </w:rPr>
        <w:t>,</w:t>
      </w:r>
      <w:r>
        <w:rPr>
          <w:b/>
          <w:color w:val="000000"/>
          <w:sz w:val="24"/>
          <w:szCs w:val="24"/>
          <w:u w:val="single"/>
          <w:lang w:val="bg-BG"/>
        </w:rPr>
        <w:t>96</w:t>
      </w:r>
      <w:r w:rsidRPr="00E36979">
        <w:rPr>
          <w:b/>
          <w:color w:val="000000"/>
          <w:sz w:val="24"/>
          <w:szCs w:val="24"/>
          <w:u w:val="single"/>
        </w:rPr>
        <w:t xml:space="preserve"> </w:t>
      </w:r>
      <w:r w:rsidRPr="00E36979">
        <w:rPr>
          <w:b/>
          <w:sz w:val="24"/>
          <w:szCs w:val="24"/>
          <w:u w:val="single"/>
          <w:lang w:val="bg-BG"/>
        </w:rPr>
        <w:t>т.</w:t>
      </w:r>
      <w:r>
        <w:rPr>
          <w:b/>
          <w:sz w:val="24"/>
          <w:szCs w:val="24"/>
          <w:u w:val="single"/>
          <w:lang w:val="bg-BG"/>
        </w:rPr>
        <w:t>, в т.ч.</w:t>
      </w:r>
      <w:r>
        <w:rPr>
          <w:b/>
          <w:sz w:val="24"/>
          <w:szCs w:val="24"/>
          <w:u w:val="single"/>
        </w:rPr>
        <w:t>:</w:t>
      </w:r>
      <w:r w:rsidRPr="00FE7F0D">
        <w:rPr>
          <w:color w:val="000000"/>
          <w:sz w:val="16"/>
          <w:szCs w:val="16"/>
        </w:rPr>
        <w:t xml:space="preserve"> </w:t>
      </w:r>
    </w:p>
    <w:p w:rsidR="00494303" w:rsidRDefault="00494303" w:rsidP="00494303">
      <w:pPr>
        <w:jc w:val="both"/>
        <w:rPr>
          <w:color w:val="000000"/>
          <w:sz w:val="16"/>
          <w:szCs w:val="16"/>
        </w:rPr>
      </w:pPr>
      <w:r>
        <w:rPr>
          <w:color w:val="000000"/>
          <w:sz w:val="16"/>
          <w:szCs w:val="16"/>
          <w:lang w:val="bg-BG"/>
        </w:rPr>
        <w:t xml:space="preserve">        - </w:t>
      </w:r>
      <w:r w:rsidRPr="00FE7F0D">
        <w:rPr>
          <w:color w:val="000000"/>
          <w:sz w:val="24"/>
          <w:szCs w:val="24"/>
          <w:lang w:val="bg-BG"/>
        </w:rPr>
        <w:t xml:space="preserve">за показател </w:t>
      </w:r>
      <w:r w:rsidRPr="00FE7F0D">
        <w:rPr>
          <w:color w:val="000000"/>
          <w:sz w:val="24"/>
          <w:szCs w:val="24"/>
        </w:rPr>
        <w:t>1. Развитиe на клоновата мрежа - брой населени места, в които банката има поделения, клонове (населено място, адрес на клонове, контакти)</w:t>
      </w:r>
      <w:r>
        <w:rPr>
          <w:color w:val="000000"/>
          <w:sz w:val="24"/>
          <w:szCs w:val="24"/>
          <w:lang w:val="bg-BG"/>
        </w:rPr>
        <w:t xml:space="preserve"> </w:t>
      </w:r>
      <w:r w:rsidRPr="00FE7F0D">
        <w:rPr>
          <w:color w:val="000000"/>
          <w:sz w:val="24"/>
          <w:szCs w:val="24"/>
          <w:lang w:val="bg-BG"/>
        </w:rPr>
        <w:t>-</w:t>
      </w:r>
      <w:r>
        <w:rPr>
          <w:color w:val="000000"/>
          <w:sz w:val="24"/>
          <w:szCs w:val="24"/>
          <w:lang w:val="bg-BG"/>
        </w:rPr>
        <w:t xml:space="preserve"> 26,85 </w:t>
      </w:r>
      <w:r w:rsidRPr="00FE7F0D">
        <w:rPr>
          <w:color w:val="000000"/>
          <w:sz w:val="24"/>
          <w:szCs w:val="24"/>
          <w:lang w:val="bg-BG"/>
        </w:rPr>
        <w:t>т</w:t>
      </w:r>
      <w:r>
        <w:rPr>
          <w:color w:val="000000"/>
          <w:sz w:val="24"/>
          <w:szCs w:val="24"/>
          <w:lang w:val="bg-BG"/>
        </w:rPr>
        <w:t>очки</w:t>
      </w:r>
      <w:r>
        <w:rPr>
          <w:color w:val="000000"/>
          <w:sz w:val="16"/>
          <w:szCs w:val="16"/>
        </w:rPr>
        <w:t>;</w:t>
      </w:r>
    </w:p>
    <w:p w:rsidR="00494303" w:rsidRDefault="00494303" w:rsidP="00494303">
      <w:pPr>
        <w:jc w:val="both"/>
        <w:rPr>
          <w:color w:val="000000"/>
          <w:sz w:val="24"/>
          <w:szCs w:val="24"/>
        </w:rPr>
      </w:pPr>
      <w:r>
        <w:rPr>
          <w:color w:val="000000"/>
          <w:sz w:val="16"/>
          <w:szCs w:val="16"/>
        </w:rPr>
        <w:t xml:space="preserve">       - </w:t>
      </w:r>
      <w:r w:rsidRPr="00756B52">
        <w:rPr>
          <w:color w:val="000000"/>
          <w:sz w:val="24"/>
          <w:szCs w:val="24"/>
          <w:lang w:val="bg-BG"/>
        </w:rPr>
        <w:t xml:space="preserve">за показател 2. </w:t>
      </w:r>
      <w:r w:rsidRPr="00756B52">
        <w:rPr>
          <w:color w:val="000000"/>
          <w:sz w:val="24"/>
          <w:szCs w:val="24"/>
        </w:rPr>
        <w:t>Надеждност на платформата за интернет банкиране - защитни механизми (посочват се изрично от участника)</w:t>
      </w:r>
      <w:r w:rsidRPr="00756B52">
        <w:rPr>
          <w:color w:val="000000"/>
          <w:sz w:val="24"/>
          <w:szCs w:val="24"/>
          <w:lang w:val="bg-BG"/>
        </w:rPr>
        <w:t xml:space="preserve"> – </w:t>
      </w:r>
      <w:r>
        <w:rPr>
          <w:color w:val="000000"/>
          <w:sz w:val="24"/>
          <w:szCs w:val="24"/>
          <w:lang w:val="bg-BG"/>
        </w:rPr>
        <w:t>0</w:t>
      </w:r>
      <w:r w:rsidRPr="00756B52">
        <w:rPr>
          <w:color w:val="000000"/>
          <w:sz w:val="24"/>
          <w:szCs w:val="24"/>
          <w:lang w:val="bg-BG"/>
        </w:rPr>
        <w:t>,</w:t>
      </w:r>
      <w:r>
        <w:rPr>
          <w:color w:val="000000"/>
          <w:sz w:val="24"/>
          <w:szCs w:val="24"/>
          <w:lang w:val="bg-BG"/>
        </w:rPr>
        <w:t>89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3.</w:t>
      </w:r>
      <w:r w:rsidRPr="00756B52">
        <w:rPr>
          <w:color w:val="000000"/>
          <w:sz w:val="16"/>
          <w:szCs w:val="16"/>
        </w:rPr>
        <w:t xml:space="preserve"> </w:t>
      </w:r>
      <w:r w:rsidRPr="00756B52">
        <w:rPr>
          <w:color w:val="000000"/>
          <w:sz w:val="24"/>
          <w:szCs w:val="24"/>
        </w:rPr>
        <w:t xml:space="preserve">Срок за обслужване на плащанията от момента на нареждането им чрез платформата за интернет банкиране </w:t>
      </w:r>
      <w:r>
        <w:rPr>
          <w:color w:val="000000"/>
          <w:sz w:val="24"/>
          <w:szCs w:val="24"/>
        </w:rPr>
        <w:t>–</w:t>
      </w:r>
      <w:r w:rsidRPr="00756B52">
        <w:rPr>
          <w:color w:val="000000"/>
          <w:sz w:val="24"/>
          <w:szCs w:val="24"/>
        </w:rPr>
        <w:t xml:space="preserve"> </w:t>
      </w:r>
      <w:r>
        <w:rPr>
          <w:color w:val="000000"/>
          <w:sz w:val="24"/>
          <w:szCs w:val="24"/>
          <w:lang w:val="bg-BG"/>
        </w:rPr>
        <w:t>1,96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4. </w:t>
      </w:r>
      <w:r w:rsidRPr="00756B52">
        <w:rPr>
          <w:color w:val="000000"/>
          <w:sz w:val="24"/>
          <w:szCs w:val="24"/>
        </w:rPr>
        <w:t xml:space="preserve">Актуален дългосрочен кредитен рейтинг на участника </w:t>
      </w:r>
      <w:r w:rsidRPr="00756B52">
        <w:rPr>
          <w:color w:val="000000"/>
          <w:sz w:val="24"/>
          <w:szCs w:val="24"/>
          <w:u w:val="single"/>
        </w:rPr>
        <w:t>или</w:t>
      </w:r>
      <w:r w:rsidRPr="00756B52">
        <w:rPr>
          <w:color w:val="000000"/>
          <w:sz w:val="24"/>
          <w:szCs w:val="24"/>
        </w:rPr>
        <w:t xml:space="preserve"> компанията-майка на участника, присъден от една от следните рейтингови агенции: Standard &amp; Poor's, Fitch Ratings, Moody’s, БАКР ил</w:t>
      </w:r>
      <w:r>
        <w:rPr>
          <w:color w:val="000000"/>
          <w:sz w:val="24"/>
          <w:szCs w:val="24"/>
        </w:rPr>
        <w:t>и др. международно-признати АКР</w:t>
      </w:r>
      <w:r>
        <w:rPr>
          <w:color w:val="000000"/>
          <w:sz w:val="24"/>
          <w:szCs w:val="24"/>
          <w:lang w:val="bg-BG"/>
        </w:rPr>
        <w:t xml:space="preserve"> – 9,00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5</w:t>
      </w:r>
      <w:r>
        <w:rPr>
          <w:color w:val="000000"/>
          <w:sz w:val="24"/>
          <w:szCs w:val="24"/>
          <w:lang w:val="bg-BG"/>
        </w:rPr>
        <w:t>.</w:t>
      </w:r>
      <w:r w:rsidRPr="00756B52">
        <w:rPr>
          <w:color w:val="000000"/>
          <w:sz w:val="16"/>
          <w:szCs w:val="16"/>
          <w:u w:val="single"/>
        </w:rPr>
        <w:t xml:space="preserve"> </w:t>
      </w:r>
      <w:r w:rsidRPr="00756B52">
        <w:rPr>
          <w:color w:val="000000"/>
          <w:sz w:val="24"/>
          <w:szCs w:val="24"/>
          <w:u w:val="single"/>
        </w:rPr>
        <w:t>Отношение на обща капиталова адекватност</w:t>
      </w:r>
      <w:r w:rsidRPr="00756B52">
        <w:rPr>
          <w:color w:val="000000"/>
          <w:sz w:val="24"/>
          <w:szCs w:val="24"/>
        </w:rPr>
        <w:t>, изчислена към края на последния приключен тримесечен отчетен пе</w:t>
      </w:r>
      <w:r>
        <w:rPr>
          <w:color w:val="000000"/>
          <w:sz w:val="24"/>
          <w:szCs w:val="24"/>
        </w:rPr>
        <w:t xml:space="preserve">риод съгласно методиката на БНБ – </w:t>
      </w:r>
      <w:r>
        <w:rPr>
          <w:color w:val="000000"/>
          <w:sz w:val="24"/>
          <w:szCs w:val="24"/>
          <w:lang w:val="bg-BG"/>
        </w:rPr>
        <w:t>26</w:t>
      </w:r>
      <w:r>
        <w:rPr>
          <w:color w:val="000000"/>
          <w:sz w:val="24"/>
          <w:szCs w:val="24"/>
        </w:rPr>
        <w:t>,</w:t>
      </w:r>
      <w:r>
        <w:rPr>
          <w:color w:val="000000"/>
          <w:sz w:val="24"/>
          <w:szCs w:val="24"/>
          <w:lang w:val="bg-BG"/>
        </w:rPr>
        <w:t>26</w:t>
      </w:r>
      <w:r>
        <w:rPr>
          <w:color w:val="000000"/>
          <w:sz w:val="24"/>
          <w:szCs w:val="24"/>
        </w:rPr>
        <w:t xml:space="preserve"> </w:t>
      </w:r>
      <w:r>
        <w:rPr>
          <w:color w:val="000000"/>
          <w:sz w:val="24"/>
          <w:szCs w:val="24"/>
          <w:lang w:val="bg-BG"/>
        </w:rPr>
        <w:t>точки</w:t>
      </w:r>
      <w:r>
        <w:rPr>
          <w:color w:val="000000"/>
          <w:sz w:val="24"/>
          <w:szCs w:val="24"/>
        </w:rPr>
        <w:t>;</w:t>
      </w:r>
    </w:p>
    <w:p w:rsidR="00494303" w:rsidRDefault="00494303" w:rsidP="00494303">
      <w:pPr>
        <w:jc w:val="both"/>
        <w:rPr>
          <w:color w:val="000000"/>
          <w:sz w:val="24"/>
          <w:szCs w:val="24"/>
          <w:lang w:val="bg-BG"/>
        </w:rPr>
      </w:pPr>
      <w:r>
        <w:rPr>
          <w:color w:val="000000"/>
          <w:sz w:val="24"/>
          <w:szCs w:val="24"/>
        </w:rPr>
        <w:t xml:space="preserve">    -  </w:t>
      </w:r>
      <w:r>
        <w:rPr>
          <w:color w:val="000000"/>
          <w:sz w:val="24"/>
          <w:szCs w:val="24"/>
          <w:lang w:val="bg-BG"/>
        </w:rPr>
        <w:t xml:space="preserve">за показател </w:t>
      </w:r>
      <w:r>
        <w:rPr>
          <w:color w:val="000000"/>
          <w:sz w:val="24"/>
          <w:szCs w:val="24"/>
        </w:rPr>
        <w:t xml:space="preserve">6. </w:t>
      </w:r>
      <w:r w:rsidRPr="0058580D">
        <w:rPr>
          <w:color w:val="000000"/>
          <w:sz w:val="24"/>
          <w:szCs w:val="24"/>
          <w:u w:val="single"/>
        </w:rPr>
        <w:t>Коефициент на ликвидните активи</w:t>
      </w:r>
      <w:r w:rsidRPr="0058580D">
        <w:rPr>
          <w:color w:val="000000"/>
          <w:sz w:val="24"/>
          <w:szCs w:val="24"/>
        </w:rPr>
        <w:t>, изчислен към края на последния приключен тримесечен отчетен период съгласно методиката на БНБ</w:t>
      </w:r>
      <w:r>
        <w:rPr>
          <w:color w:val="000000"/>
          <w:sz w:val="24"/>
          <w:szCs w:val="24"/>
        </w:rPr>
        <w:t xml:space="preserve"> – 1</w:t>
      </w:r>
      <w:r>
        <w:rPr>
          <w:color w:val="000000"/>
          <w:sz w:val="24"/>
          <w:szCs w:val="24"/>
          <w:lang w:val="bg-BG"/>
        </w:rPr>
        <w:t>5</w:t>
      </w:r>
      <w:r>
        <w:rPr>
          <w:color w:val="000000"/>
          <w:sz w:val="24"/>
          <w:szCs w:val="24"/>
        </w:rPr>
        <w:t>,00</w:t>
      </w:r>
      <w:r>
        <w:rPr>
          <w:color w:val="000000"/>
          <w:sz w:val="24"/>
          <w:szCs w:val="24"/>
          <w:lang w:val="bg-BG"/>
        </w:rPr>
        <w:t xml:space="preserve"> точки.</w:t>
      </w:r>
    </w:p>
    <w:p w:rsidR="00494303" w:rsidRPr="002132F0" w:rsidRDefault="00494303" w:rsidP="00494303">
      <w:pPr>
        <w:jc w:val="both"/>
        <w:rPr>
          <w:color w:val="000000"/>
          <w:sz w:val="24"/>
          <w:szCs w:val="24"/>
          <w:lang w:val="bg-BG"/>
        </w:rPr>
      </w:pPr>
    </w:p>
    <w:p w:rsidR="00494303" w:rsidRPr="00756B52" w:rsidRDefault="00494303" w:rsidP="00494303">
      <w:pPr>
        <w:jc w:val="both"/>
        <w:rPr>
          <w:color w:val="000000"/>
          <w:sz w:val="16"/>
          <w:szCs w:val="16"/>
          <w:lang w:val="bg-BG"/>
        </w:rPr>
      </w:pPr>
      <w:r>
        <w:rPr>
          <w:b/>
          <w:sz w:val="24"/>
          <w:szCs w:val="24"/>
          <w:lang w:val="bg-BG"/>
        </w:rPr>
        <w:t xml:space="preserve">      4. </w:t>
      </w:r>
      <w:r w:rsidRPr="00BF5491">
        <w:rPr>
          <w:b/>
          <w:color w:val="000000"/>
          <w:sz w:val="24"/>
          <w:szCs w:val="24"/>
          <w:lang w:val="bg-BG"/>
        </w:rPr>
        <w:t>Участникът</w:t>
      </w:r>
      <w:r>
        <w:rPr>
          <w:b/>
          <w:color w:val="000000"/>
          <w:sz w:val="24"/>
          <w:szCs w:val="24"/>
          <w:lang w:val="bg-BG"/>
        </w:rPr>
        <w:t xml:space="preserve">„ЮРОБАНК БЪЛГАРИЯ”АД </w:t>
      </w:r>
      <w:r w:rsidR="00B55C92">
        <w:rPr>
          <w:b/>
          <w:color w:val="000000"/>
          <w:sz w:val="24"/>
          <w:szCs w:val="24"/>
          <w:u w:val="single"/>
          <w:lang w:val="bg-BG"/>
        </w:rPr>
        <w:t xml:space="preserve">– общо </w:t>
      </w:r>
      <w:r>
        <w:rPr>
          <w:b/>
          <w:color w:val="000000"/>
          <w:sz w:val="24"/>
          <w:szCs w:val="24"/>
          <w:u w:val="single"/>
          <w:lang w:val="bg-BG"/>
        </w:rPr>
        <w:t xml:space="preserve"> </w:t>
      </w:r>
      <w:r>
        <w:rPr>
          <w:b/>
          <w:color w:val="000000"/>
          <w:sz w:val="24"/>
          <w:szCs w:val="24"/>
          <w:u w:val="single"/>
        </w:rPr>
        <w:t>51,8</w:t>
      </w:r>
      <w:r>
        <w:rPr>
          <w:b/>
          <w:color w:val="000000"/>
          <w:sz w:val="24"/>
          <w:szCs w:val="24"/>
          <w:u w:val="single"/>
          <w:lang w:val="bg-BG"/>
        </w:rPr>
        <w:t>0</w:t>
      </w:r>
      <w:r w:rsidRPr="00E36979">
        <w:rPr>
          <w:b/>
          <w:color w:val="000000"/>
          <w:sz w:val="24"/>
          <w:szCs w:val="24"/>
          <w:u w:val="single"/>
        </w:rPr>
        <w:t xml:space="preserve"> </w:t>
      </w:r>
      <w:r>
        <w:rPr>
          <w:b/>
          <w:sz w:val="24"/>
          <w:szCs w:val="24"/>
          <w:u w:val="single"/>
          <w:lang w:val="bg-BG"/>
        </w:rPr>
        <w:t>точки, в т.ч.</w:t>
      </w:r>
      <w:r>
        <w:rPr>
          <w:b/>
          <w:sz w:val="24"/>
          <w:szCs w:val="24"/>
          <w:u w:val="single"/>
        </w:rPr>
        <w:t>:</w:t>
      </w:r>
      <w:r w:rsidRPr="00FE7F0D">
        <w:rPr>
          <w:color w:val="000000"/>
          <w:sz w:val="16"/>
          <w:szCs w:val="16"/>
        </w:rPr>
        <w:t xml:space="preserve"> </w:t>
      </w:r>
    </w:p>
    <w:p w:rsidR="00494303" w:rsidRDefault="00494303" w:rsidP="00494303">
      <w:pPr>
        <w:jc w:val="both"/>
        <w:rPr>
          <w:color w:val="000000"/>
          <w:sz w:val="16"/>
          <w:szCs w:val="16"/>
        </w:rPr>
      </w:pPr>
      <w:r>
        <w:rPr>
          <w:color w:val="000000"/>
          <w:sz w:val="16"/>
          <w:szCs w:val="16"/>
          <w:lang w:val="bg-BG"/>
        </w:rPr>
        <w:t xml:space="preserve">        - </w:t>
      </w:r>
      <w:r w:rsidRPr="00FE7F0D">
        <w:rPr>
          <w:color w:val="000000"/>
          <w:sz w:val="24"/>
          <w:szCs w:val="24"/>
          <w:lang w:val="bg-BG"/>
        </w:rPr>
        <w:t xml:space="preserve">за показател </w:t>
      </w:r>
      <w:r w:rsidRPr="00FE7F0D">
        <w:rPr>
          <w:color w:val="000000"/>
          <w:sz w:val="24"/>
          <w:szCs w:val="24"/>
        </w:rPr>
        <w:t>1. Развитиe на клоновата мрежа - брой населени места, в които банката има поделения, клонове (населено място, адрес на клонове, контакти)</w:t>
      </w:r>
      <w:r>
        <w:rPr>
          <w:color w:val="000000"/>
          <w:sz w:val="24"/>
          <w:szCs w:val="24"/>
          <w:lang w:val="bg-BG"/>
        </w:rPr>
        <w:t xml:space="preserve"> </w:t>
      </w:r>
      <w:r w:rsidRPr="00FE7F0D">
        <w:rPr>
          <w:color w:val="000000"/>
          <w:sz w:val="24"/>
          <w:szCs w:val="24"/>
          <w:lang w:val="bg-BG"/>
        </w:rPr>
        <w:t>-</w:t>
      </w:r>
      <w:r>
        <w:rPr>
          <w:color w:val="000000"/>
          <w:sz w:val="24"/>
          <w:szCs w:val="24"/>
          <w:lang w:val="bg-BG"/>
        </w:rPr>
        <w:t xml:space="preserve">21,48 </w:t>
      </w:r>
      <w:r w:rsidRPr="00FE7F0D">
        <w:rPr>
          <w:color w:val="000000"/>
          <w:sz w:val="24"/>
          <w:szCs w:val="24"/>
          <w:lang w:val="bg-BG"/>
        </w:rPr>
        <w:t>т</w:t>
      </w:r>
      <w:r>
        <w:rPr>
          <w:color w:val="000000"/>
          <w:sz w:val="24"/>
          <w:szCs w:val="24"/>
          <w:lang w:val="bg-BG"/>
        </w:rPr>
        <w:t>очки</w:t>
      </w:r>
      <w:r>
        <w:rPr>
          <w:color w:val="000000"/>
          <w:sz w:val="16"/>
          <w:szCs w:val="16"/>
        </w:rPr>
        <w:t>;</w:t>
      </w:r>
    </w:p>
    <w:p w:rsidR="00494303" w:rsidRDefault="00494303" w:rsidP="00494303">
      <w:pPr>
        <w:jc w:val="both"/>
        <w:rPr>
          <w:color w:val="000000"/>
          <w:sz w:val="24"/>
          <w:szCs w:val="24"/>
        </w:rPr>
      </w:pPr>
      <w:r>
        <w:rPr>
          <w:color w:val="000000"/>
          <w:sz w:val="16"/>
          <w:szCs w:val="16"/>
        </w:rPr>
        <w:t xml:space="preserve">       - </w:t>
      </w:r>
      <w:r w:rsidRPr="00756B52">
        <w:rPr>
          <w:color w:val="000000"/>
          <w:sz w:val="24"/>
          <w:szCs w:val="24"/>
          <w:lang w:val="bg-BG"/>
        </w:rPr>
        <w:t xml:space="preserve">за показател 2. </w:t>
      </w:r>
      <w:r w:rsidRPr="00756B52">
        <w:rPr>
          <w:color w:val="000000"/>
          <w:sz w:val="24"/>
          <w:szCs w:val="24"/>
        </w:rPr>
        <w:t>Надеждност на платформата за интернет банкиране - защитни механизми (посочват се изрично от участника)</w:t>
      </w:r>
      <w:r w:rsidRPr="00756B52">
        <w:rPr>
          <w:color w:val="000000"/>
          <w:sz w:val="24"/>
          <w:szCs w:val="24"/>
          <w:lang w:val="bg-BG"/>
        </w:rPr>
        <w:t xml:space="preserve"> – </w:t>
      </w:r>
      <w:r>
        <w:rPr>
          <w:color w:val="000000"/>
          <w:sz w:val="24"/>
          <w:szCs w:val="24"/>
          <w:lang w:val="bg-BG"/>
        </w:rPr>
        <w:t>0</w:t>
      </w:r>
      <w:r w:rsidRPr="00756B52">
        <w:rPr>
          <w:color w:val="000000"/>
          <w:sz w:val="24"/>
          <w:szCs w:val="24"/>
          <w:lang w:val="bg-BG"/>
        </w:rPr>
        <w:t>,</w:t>
      </w:r>
      <w:r>
        <w:rPr>
          <w:color w:val="000000"/>
          <w:sz w:val="24"/>
          <w:szCs w:val="24"/>
          <w:lang w:val="bg-BG"/>
        </w:rPr>
        <w:t>67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3.</w:t>
      </w:r>
      <w:r w:rsidRPr="00756B52">
        <w:rPr>
          <w:color w:val="000000"/>
          <w:sz w:val="16"/>
          <w:szCs w:val="16"/>
        </w:rPr>
        <w:t xml:space="preserve"> </w:t>
      </w:r>
      <w:r w:rsidRPr="00756B52">
        <w:rPr>
          <w:color w:val="000000"/>
          <w:sz w:val="24"/>
          <w:szCs w:val="24"/>
        </w:rPr>
        <w:t xml:space="preserve">Срок за обслужване на плащанията от момента на нареждането им чрез платформата за интернет банкиране </w:t>
      </w:r>
      <w:r>
        <w:rPr>
          <w:color w:val="000000"/>
          <w:sz w:val="24"/>
          <w:szCs w:val="24"/>
        </w:rPr>
        <w:t>–</w:t>
      </w:r>
      <w:r w:rsidRPr="00756B52">
        <w:rPr>
          <w:color w:val="000000"/>
          <w:sz w:val="24"/>
          <w:szCs w:val="24"/>
        </w:rPr>
        <w:t xml:space="preserve"> </w:t>
      </w:r>
      <w:r>
        <w:rPr>
          <w:color w:val="000000"/>
          <w:sz w:val="24"/>
          <w:szCs w:val="24"/>
          <w:lang w:val="bg-BG"/>
        </w:rPr>
        <w:t>1,33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4. </w:t>
      </w:r>
      <w:r w:rsidRPr="00756B52">
        <w:rPr>
          <w:color w:val="000000"/>
          <w:sz w:val="24"/>
          <w:szCs w:val="24"/>
        </w:rPr>
        <w:t xml:space="preserve">Актуален дългосрочен кредитен рейтинг на участника </w:t>
      </w:r>
      <w:r w:rsidRPr="00756B52">
        <w:rPr>
          <w:color w:val="000000"/>
          <w:sz w:val="24"/>
          <w:szCs w:val="24"/>
          <w:u w:val="single"/>
        </w:rPr>
        <w:t>или</w:t>
      </w:r>
      <w:r w:rsidRPr="00756B52">
        <w:rPr>
          <w:color w:val="000000"/>
          <w:sz w:val="24"/>
          <w:szCs w:val="24"/>
        </w:rPr>
        <w:t xml:space="preserve"> компанията-майка на участника, присъден от една от следните рейтингови агенции: Standard &amp; Poor's, Fitch Ratings, Moody’s, БАКР ил</w:t>
      </w:r>
      <w:r>
        <w:rPr>
          <w:color w:val="000000"/>
          <w:sz w:val="24"/>
          <w:szCs w:val="24"/>
        </w:rPr>
        <w:t>и др. международно-признати АКР</w:t>
      </w:r>
      <w:r>
        <w:rPr>
          <w:color w:val="000000"/>
          <w:sz w:val="24"/>
          <w:szCs w:val="24"/>
          <w:lang w:val="bg-BG"/>
        </w:rPr>
        <w:t xml:space="preserve"> – 1,00 точка</w:t>
      </w:r>
      <w:r>
        <w:rPr>
          <w:color w:val="000000"/>
          <w:sz w:val="24"/>
          <w:szCs w:val="24"/>
        </w:rPr>
        <w:t>;</w:t>
      </w:r>
    </w:p>
    <w:p w:rsidR="00494303" w:rsidRDefault="00494303" w:rsidP="00494303">
      <w:pPr>
        <w:jc w:val="both"/>
        <w:rPr>
          <w:color w:val="000000"/>
          <w:sz w:val="24"/>
          <w:szCs w:val="24"/>
        </w:rPr>
      </w:pPr>
      <w:r>
        <w:rPr>
          <w:color w:val="000000"/>
          <w:sz w:val="24"/>
          <w:szCs w:val="24"/>
        </w:rPr>
        <w:t xml:space="preserve">     - </w:t>
      </w:r>
      <w:r>
        <w:rPr>
          <w:color w:val="000000"/>
          <w:sz w:val="24"/>
          <w:szCs w:val="24"/>
          <w:lang w:val="bg-BG"/>
        </w:rPr>
        <w:t xml:space="preserve">за показател </w:t>
      </w:r>
      <w:r>
        <w:rPr>
          <w:color w:val="000000"/>
          <w:sz w:val="24"/>
          <w:szCs w:val="24"/>
        </w:rPr>
        <w:t>5</w:t>
      </w:r>
      <w:r>
        <w:rPr>
          <w:color w:val="000000"/>
          <w:sz w:val="24"/>
          <w:szCs w:val="24"/>
          <w:lang w:val="bg-BG"/>
        </w:rPr>
        <w:t>.</w:t>
      </w:r>
      <w:r w:rsidRPr="00756B52">
        <w:rPr>
          <w:color w:val="000000"/>
          <w:sz w:val="16"/>
          <w:szCs w:val="16"/>
          <w:u w:val="single"/>
        </w:rPr>
        <w:t xml:space="preserve"> </w:t>
      </w:r>
      <w:r w:rsidRPr="00756B52">
        <w:rPr>
          <w:color w:val="000000"/>
          <w:sz w:val="24"/>
          <w:szCs w:val="24"/>
          <w:u w:val="single"/>
        </w:rPr>
        <w:t>Отношение на обща капиталова адекватност</w:t>
      </w:r>
      <w:r w:rsidRPr="00756B52">
        <w:rPr>
          <w:color w:val="000000"/>
          <w:sz w:val="24"/>
          <w:szCs w:val="24"/>
        </w:rPr>
        <w:t>, изчислена към края на последния приключен тримесечен отчетен пе</w:t>
      </w:r>
      <w:r>
        <w:rPr>
          <w:color w:val="000000"/>
          <w:sz w:val="24"/>
          <w:szCs w:val="24"/>
        </w:rPr>
        <w:t xml:space="preserve">риод съгласно методиката на БНБ – </w:t>
      </w:r>
      <w:r>
        <w:rPr>
          <w:color w:val="000000"/>
          <w:sz w:val="24"/>
          <w:szCs w:val="24"/>
          <w:lang w:val="bg-BG"/>
        </w:rPr>
        <w:t>26</w:t>
      </w:r>
      <w:r>
        <w:rPr>
          <w:color w:val="000000"/>
          <w:sz w:val="24"/>
          <w:szCs w:val="24"/>
        </w:rPr>
        <w:t>,</w:t>
      </w:r>
      <w:r>
        <w:rPr>
          <w:color w:val="000000"/>
          <w:sz w:val="24"/>
          <w:szCs w:val="24"/>
          <w:lang w:val="bg-BG"/>
        </w:rPr>
        <w:t>32</w:t>
      </w:r>
      <w:r>
        <w:rPr>
          <w:color w:val="000000"/>
          <w:sz w:val="24"/>
          <w:szCs w:val="24"/>
        </w:rPr>
        <w:t xml:space="preserve"> </w:t>
      </w:r>
      <w:r>
        <w:rPr>
          <w:color w:val="000000"/>
          <w:sz w:val="24"/>
          <w:szCs w:val="24"/>
          <w:lang w:val="bg-BG"/>
        </w:rPr>
        <w:t>точки</w:t>
      </w:r>
      <w:r>
        <w:rPr>
          <w:color w:val="000000"/>
          <w:sz w:val="24"/>
          <w:szCs w:val="24"/>
        </w:rPr>
        <w:t>;</w:t>
      </w:r>
    </w:p>
    <w:p w:rsidR="00494303" w:rsidRDefault="00494303" w:rsidP="00494303">
      <w:pPr>
        <w:jc w:val="both"/>
        <w:rPr>
          <w:color w:val="000000"/>
          <w:sz w:val="24"/>
          <w:szCs w:val="24"/>
          <w:lang w:val="bg-BG"/>
        </w:rPr>
      </w:pPr>
      <w:r>
        <w:rPr>
          <w:color w:val="000000"/>
          <w:sz w:val="24"/>
          <w:szCs w:val="24"/>
        </w:rPr>
        <w:t xml:space="preserve">    -  </w:t>
      </w:r>
      <w:r>
        <w:rPr>
          <w:color w:val="000000"/>
          <w:sz w:val="24"/>
          <w:szCs w:val="24"/>
          <w:lang w:val="bg-BG"/>
        </w:rPr>
        <w:t xml:space="preserve">за показател </w:t>
      </w:r>
      <w:r>
        <w:rPr>
          <w:color w:val="000000"/>
          <w:sz w:val="24"/>
          <w:szCs w:val="24"/>
        </w:rPr>
        <w:t xml:space="preserve">6. </w:t>
      </w:r>
      <w:r w:rsidRPr="0058580D">
        <w:rPr>
          <w:color w:val="000000"/>
          <w:sz w:val="24"/>
          <w:szCs w:val="24"/>
          <w:u w:val="single"/>
        </w:rPr>
        <w:t>Коефициент на ликвидните активи</w:t>
      </w:r>
      <w:r w:rsidRPr="0058580D">
        <w:rPr>
          <w:color w:val="000000"/>
          <w:sz w:val="24"/>
          <w:szCs w:val="24"/>
        </w:rPr>
        <w:t>, изчислен към края на последния приключен тримесечен отчетен период съгласно методиката на БНБ</w:t>
      </w:r>
      <w:r>
        <w:rPr>
          <w:color w:val="000000"/>
          <w:sz w:val="24"/>
          <w:szCs w:val="24"/>
        </w:rPr>
        <w:t xml:space="preserve"> – 1,00</w:t>
      </w:r>
      <w:r>
        <w:rPr>
          <w:color w:val="000000"/>
          <w:sz w:val="24"/>
          <w:szCs w:val="24"/>
          <w:lang w:val="bg-BG"/>
        </w:rPr>
        <w:t xml:space="preserve"> точка.</w:t>
      </w:r>
    </w:p>
    <w:p w:rsidR="00494303" w:rsidRPr="002132F0" w:rsidRDefault="00494303" w:rsidP="00494303">
      <w:pPr>
        <w:jc w:val="both"/>
        <w:rPr>
          <w:color w:val="000000"/>
          <w:sz w:val="24"/>
          <w:szCs w:val="24"/>
          <w:lang w:val="bg-BG"/>
        </w:rPr>
      </w:pPr>
    </w:p>
    <w:p w:rsidR="00494303" w:rsidRPr="00756B52" w:rsidRDefault="00494303" w:rsidP="00494303">
      <w:pPr>
        <w:jc w:val="both"/>
        <w:rPr>
          <w:color w:val="000000"/>
          <w:sz w:val="16"/>
          <w:szCs w:val="16"/>
          <w:lang w:val="bg-BG"/>
        </w:rPr>
      </w:pPr>
      <w:r w:rsidRPr="00BF5491">
        <w:rPr>
          <w:b/>
          <w:sz w:val="24"/>
          <w:szCs w:val="24"/>
          <w:lang w:val="bg-BG"/>
        </w:rPr>
        <w:t xml:space="preserve">       </w:t>
      </w:r>
      <w:r>
        <w:rPr>
          <w:b/>
          <w:sz w:val="24"/>
          <w:szCs w:val="24"/>
          <w:lang w:val="bg-BG"/>
        </w:rPr>
        <w:t xml:space="preserve">      5.</w:t>
      </w:r>
      <w:r w:rsidRPr="00BF5491">
        <w:rPr>
          <w:b/>
          <w:color w:val="000000"/>
          <w:sz w:val="24"/>
          <w:szCs w:val="24"/>
          <w:lang w:val="bg-BG"/>
        </w:rPr>
        <w:t>Участникът</w:t>
      </w:r>
      <w:r>
        <w:rPr>
          <w:b/>
          <w:color w:val="000000"/>
          <w:sz w:val="24"/>
          <w:szCs w:val="24"/>
        </w:rPr>
        <w:t xml:space="preserve"> </w:t>
      </w:r>
      <w:r>
        <w:rPr>
          <w:b/>
          <w:color w:val="000000"/>
          <w:sz w:val="24"/>
          <w:szCs w:val="24"/>
          <w:lang w:val="bg-BG"/>
        </w:rPr>
        <w:t>„ЦЕНТРАЛНА КООПЕРАТИВНА БАНКА”АД</w:t>
      </w:r>
      <w:r>
        <w:rPr>
          <w:b/>
          <w:color w:val="000000"/>
          <w:sz w:val="24"/>
          <w:szCs w:val="24"/>
          <w:u w:val="single"/>
          <w:lang w:val="bg-BG"/>
        </w:rPr>
        <w:t xml:space="preserve">- </w:t>
      </w:r>
      <w:r w:rsidR="00B55C92">
        <w:rPr>
          <w:b/>
          <w:color w:val="000000"/>
          <w:sz w:val="24"/>
          <w:szCs w:val="24"/>
          <w:u w:val="single"/>
          <w:lang w:val="bg-BG"/>
        </w:rPr>
        <w:t xml:space="preserve">общо </w:t>
      </w:r>
      <w:r>
        <w:rPr>
          <w:b/>
          <w:color w:val="000000"/>
          <w:sz w:val="24"/>
          <w:szCs w:val="24"/>
          <w:u w:val="single"/>
          <w:lang w:val="bg-BG"/>
        </w:rPr>
        <w:t>57</w:t>
      </w:r>
      <w:r>
        <w:rPr>
          <w:b/>
          <w:color w:val="000000"/>
          <w:sz w:val="24"/>
          <w:szCs w:val="24"/>
          <w:u w:val="single"/>
        </w:rPr>
        <w:t>,</w:t>
      </w:r>
      <w:r>
        <w:rPr>
          <w:b/>
          <w:color w:val="000000"/>
          <w:sz w:val="24"/>
          <w:szCs w:val="24"/>
          <w:u w:val="single"/>
          <w:lang w:val="bg-BG"/>
        </w:rPr>
        <w:t xml:space="preserve">74 </w:t>
      </w:r>
      <w:r w:rsidRPr="00E36979">
        <w:rPr>
          <w:b/>
          <w:color w:val="000000"/>
          <w:sz w:val="24"/>
          <w:szCs w:val="24"/>
          <w:u w:val="single"/>
        </w:rPr>
        <w:t xml:space="preserve"> </w:t>
      </w:r>
      <w:r>
        <w:rPr>
          <w:b/>
          <w:sz w:val="24"/>
          <w:szCs w:val="24"/>
          <w:u w:val="single"/>
          <w:lang w:val="bg-BG"/>
        </w:rPr>
        <w:t>точки, в т.ч.</w:t>
      </w:r>
      <w:r>
        <w:rPr>
          <w:b/>
          <w:sz w:val="24"/>
          <w:szCs w:val="24"/>
          <w:u w:val="single"/>
        </w:rPr>
        <w:t>:</w:t>
      </w:r>
      <w:r w:rsidRPr="00FE7F0D">
        <w:rPr>
          <w:color w:val="000000"/>
          <w:sz w:val="16"/>
          <w:szCs w:val="16"/>
        </w:rPr>
        <w:t xml:space="preserve"> </w:t>
      </w:r>
    </w:p>
    <w:p w:rsidR="00494303" w:rsidRDefault="00494303" w:rsidP="00494303">
      <w:pPr>
        <w:jc w:val="both"/>
        <w:rPr>
          <w:color w:val="000000"/>
          <w:sz w:val="16"/>
          <w:szCs w:val="16"/>
        </w:rPr>
      </w:pPr>
      <w:r>
        <w:rPr>
          <w:color w:val="000000"/>
          <w:sz w:val="16"/>
          <w:szCs w:val="16"/>
          <w:lang w:val="bg-BG"/>
        </w:rPr>
        <w:t xml:space="preserve">               - </w:t>
      </w:r>
      <w:r w:rsidRPr="00FE7F0D">
        <w:rPr>
          <w:color w:val="000000"/>
          <w:sz w:val="24"/>
          <w:szCs w:val="24"/>
          <w:lang w:val="bg-BG"/>
        </w:rPr>
        <w:t xml:space="preserve">за показател </w:t>
      </w:r>
      <w:r w:rsidRPr="00FE7F0D">
        <w:rPr>
          <w:color w:val="000000"/>
          <w:sz w:val="24"/>
          <w:szCs w:val="24"/>
        </w:rPr>
        <w:t>1. Развитиe на клоновата мрежа - брой населени места, в които банката има поделения, клонове (населено място, адрес на клонове, контакти)</w:t>
      </w:r>
      <w:r>
        <w:rPr>
          <w:color w:val="000000"/>
          <w:sz w:val="24"/>
          <w:szCs w:val="24"/>
          <w:lang w:val="bg-BG"/>
        </w:rPr>
        <w:t xml:space="preserve"> </w:t>
      </w:r>
      <w:r w:rsidRPr="00FE7F0D">
        <w:rPr>
          <w:color w:val="000000"/>
          <w:sz w:val="24"/>
          <w:szCs w:val="24"/>
          <w:lang w:val="bg-BG"/>
        </w:rPr>
        <w:t>-</w:t>
      </w:r>
      <w:r>
        <w:rPr>
          <w:color w:val="000000"/>
          <w:sz w:val="24"/>
          <w:szCs w:val="24"/>
          <w:lang w:val="bg-BG"/>
        </w:rPr>
        <w:t xml:space="preserve"> 40,00 </w:t>
      </w:r>
      <w:r w:rsidRPr="00FE7F0D">
        <w:rPr>
          <w:color w:val="000000"/>
          <w:sz w:val="24"/>
          <w:szCs w:val="24"/>
          <w:lang w:val="bg-BG"/>
        </w:rPr>
        <w:t>т</w:t>
      </w:r>
      <w:r>
        <w:rPr>
          <w:color w:val="000000"/>
          <w:sz w:val="24"/>
          <w:szCs w:val="24"/>
          <w:lang w:val="bg-BG"/>
        </w:rPr>
        <w:t>очки</w:t>
      </w:r>
      <w:r>
        <w:rPr>
          <w:color w:val="000000"/>
          <w:sz w:val="16"/>
          <w:szCs w:val="16"/>
        </w:rPr>
        <w:t>;</w:t>
      </w:r>
    </w:p>
    <w:p w:rsidR="00494303" w:rsidRDefault="00494303" w:rsidP="00494303">
      <w:pPr>
        <w:jc w:val="both"/>
        <w:rPr>
          <w:color w:val="000000"/>
          <w:sz w:val="24"/>
          <w:szCs w:val="24"/>
        </w:rPr>
      </w:pPr>
      <w:r>
        <w:rPr>
          <w:color w:val="000000"/>
          <w:sz w:val="16"/>
          <w:szCs w:val="16"/>
        </w:rPr>
        <w:t xml:space="preserve">      </w:t>
      </w:r>
      <w:r>
        <w:rPr>
          <w:color w:val="000000"/>
          <w:sz w:val="16"/>
          <w:szCs w:val="16"/>
          <w:lang w:val="bg-BG"/>
        </w:rPr>
        <w:t xml:space="preserve">        </w:t>
      </w:r>
      <w:r>
        <w:rPr>
          <w:color w:val="000000"/>
          <w:sz w:val="16"/>
          <w:szCs w:val="16"/>
        </w:rPr>
        <w:t xml:space="preserve"> - </w:t>
      </w:r>
      <w:r w:rsidRPr="00756B52">
        <w:rPr>
          <w:color w:val="000000"/>
          <w:sz w:val="24"/>
          <w:szCs w:val="24"/>
          <w:lang w:val="bg-BG"/>
        </w:rPr>
        <w:t xml:space="preserve">за показател 2. </w:t>
      </w:r>
      <w:r w:rsidRPr="00756B52">
        <w:rPr>
          <w:color w:val="000000"/>
          <w:sz w:val="24"/>
          <w:szCs w:val="24"/>
        </w:rPr>
        <w:t>Надеждност на платформата за интернет банкиране - защитни механизми (посочват се изрично от участника)</w:t>
      </w:r>
      <w:r w:rsidRPr="00756B52">
        <w:rPr>
          <w:color w:val="000000"/>
          <w:sz w:val="24"/>
          <w:szCs w:val="24"/>
          <w:lang w:val="bg-BG"/>
        </w:rPr>
        <w:t xml:space="preserve"> – </w:t>
      </w:r>
      <w:r>
        <w:rPr>
          <w:color w:val="000000"/>
          <w:sz w:val="24"/>
          <w:szCs w:val="24"/>
          <w:lang w:val="bg-BG"/>
        </w:rPr>
        <w:t>0</w:t>
      </w:r>
      <w:r w:rsidRPr="00756B52">
        <w:rPr>
          <w:color w:val="000000"/>
          <w:sz w:val="24"/>
          <w:szCs w:val="24"/>
          <w:lang w:val="bg-BG"/>
        </w:rPr>
        <w:t>,</w:t>
      </w:r>
      <w:r>
        <w:rPr>
          <w:color w:val="000000"/>
          <w:sz w:val="24"/>
          <w:szCs w:val="24"/>
          <w:lang w:val="bg-BG"/>
        </w:rPr>
        <w:t>78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w:t>
      </w:r>
      <w:r>
        <w:rPr>
          <w:color w:val="000000"/>
          <w:sz w:val="24"/>
          <w:szCs w:val="24"/>
          <w:lang w:val="bg-BG"/>
        </w:rPr>
        <w:t xml:space="preserve">     </w:t>
      </w:r>
      <w:r>
        <w:rPr>
          <w:color w:val="000000"/>
          <w:sz w:val="24"/>
          <w:szCs w:val="24"/>
        </w:rPr>
        <w:t xml:space="preserve"> - </w:t>
      </w:r>
      <w:r>
        <w:rPr>
          <w:color w:val="000000"/>
          <w:sz w:val="24"/>
          <w:szCs w:val="24"/>
          <w:lang w:val="bg-BG"/>
        </w:rPr>
        <w:t xml:space="preserve">за показател </w:t>
      </w:r>
      <w:r>
        <w:rPr>
          <w:color w:val="000000"/>
          <w:sz w:val="24"/>
          <w:szCs w:val="24"/>
        </w:rPr>
        <w:t>3.</w:t>
      </w:r>
      <w:r w:rsidRPr="00756B52">
        <w:rPr>
          <w:color w:val="000000"/>
          <w:sz w:val="16"/>
          <w:szCs w:val="16"/>
        </w:rPr>
        <w:t xml:space="preserve"> </w:t>
      </w:r>
      <w:r w:rsidRPr="00756B52">
        <w:rPr>
          <w:color w:val="000000"/>
          <w:sz w:val="24"/>
          <w:szCs w:val="24"/>
        </w:rPr>
        <w:t xml:space="preserve">Срок за обслужване на плащанията от момента на нареждането им чрез платформата за интернет банкиране </w:t>
      </w:r>
      <w:r>
        <w:rPr>
          <w:color w:val="000000"/>
          <w:sz w:val="24"/>
          <w:szCs w:val="24"/>
        </w:rPr>
        <w:t>–</w:t>
      </w:r>
      <w:r w:rsidRPr="00756B52">
        <w:rPr>
          <w:color w:val="000000"/>
          <w:sz w:val="24"/>
          <w:szCs w:val="24"/>
        </w:rPr>
        <w:t xml:space="preserve"> </w:t>
      </w:r>
      <w:r>
        <w:rPr>
          <w:color w:val="000000"/>
          <w:sz w:val="24"/>
          <w:szCs w:val="24"/>
          <w:lang w:val="bg-BG"/>
        </w:rPr>
        <w:t>1,20 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w:t>
      </w:r>
      <w:r>
        <w:rPr>
          <w:color w:val="000000"/>
          <w:sz w:val="24"/>
          <w:szCs w:val="24"/>
          <w:lang w:val="bg-BG"/>
        </w:rPr>
        <w:t xml:space="preserve">     </w:t>
      </w:r>
      <w:r>
        <w:rPr>
          <w:color w:val="000000"/>
          <w:sz w:val="24"/>
          <w:szCs w:val="24"/>
        </w:rPr>
        <w:t xml:space="preserve">  - </w:t>
      </w:r>
      <w:r>
        <w:rPr>
          <w:color w:val="000000"/>
          <w:sz w:val="24"/>
          <w:szCs w:val="24"/>
          <w:lang w:val="bg-BG"/>
        </w:rPr>
        <w:t xml:space="preserve">за показател 4. </w:t>
      </w:r>
      <w:r w:rsidRPr="00756B52">
        <w:rPr>
          <w:color w:val="000000"/>
          <w:sz w:val="24"/>
          <w:szCs w:val="24"/>
        </w:rPr>
        <w:t xml:space="preserve">Актуален дългосрочен кредитен рейтинг на участника </w:t>
      </w:r>
      <w:r w:rsidRPr="00756B52">
        <w:rPr>
          <w:color w:val="000000"/>
          <w:sz w:val="24"/>
          <w:szCs w:val="24"/>
          <w:u w:val="single"/>
        </w:rPr>
        <w:t>или</w:t>
      </w:r>
      <w:r w:rsidRPr="00756B52">
        <w:rPr>
          <w:color w:val="000000"/>
          <w:sz w:val="24"/>
          <w:szCs w:val="24"/>
        </w:rPr>
        <w:t xml:space="preserve"> компанията-майка на участника, присъден от една от следните рейтингови агенции: Standard &amp; Poor's, Fitch Ratings, Moody’s, БАКР ил</w:t>
      </w:r>
      <w:r>
        <w:rPr>
          <w:color w:val="000000"/>
          <w:sz w:val="24"/>
          <w:szCs w:val="24"/>
        </w:rPr>
        <w:t>и др. международно-признати АКР</w:t>
      </w:r>
      <w:r>
        <w:rPr>
          <w:color w:val="000000"/>
          <w:sz w:val="24"/>
          <w:szCs w:val="24"/>
          <w:lang w:val="bg-BG"/>
        </w:rPr>
        <w:t xml:space="preserve"> – 1,00 точка</w:t>
      </w:r>
      <w:r>
        <w:rPr>
          <w:color w:val="000000"/>
          <w:sz w:val="24"/>
          <w:szCs w:val="24"/>
        </w:rPr>
        <w:t>;</w:t>
      </w:r>
    </w:p>
    <w:p w:rsidR="00494303" w:rsidRDefault="00494303" w:rsidP="00494303">
      <w:pPr>
        <w:jc w:val="both"/>
        <w:rPr>
          <w:color w:val="000000"/>
          <w:sz w:val="24"/>
          <w:szCs w:val="24"/>
        </w:rPr>
      </w:pPr>
      <w:r>
        <w:rPr>
          <w:color w:val="000000"/>
          <w:sz w:val="24"/>
          <w:szCs w:val="24"/>
        </w:rPr>
        <w:t xml:space="preserve">    </w:t>
      </w:r>
      <w:r>
        <w:rPr>
          <w:color w:val="000000"/>
          <w:sz w:val="24"/>
          <w:szCs w:val="24"/>
          <w:lang w:val="bg-BG"/>
        </w:rPr>
        <w:t xml:space="preserve">     </w:t>
      </w:r>
      <w:r>
        <w:rPr>
          <w:color w:val="000000"/>
          <w:sz w:val="24"/>
          <w:szCs w:val="24"/>
        </w:rPr>
        <w:t xml:space="preserve"> - </w:t>
      </w:r>
      <w:r>
        <w:rPr>
          <w:color w:val="000000"/>
          <w:sz w:val="24"/>
          <w:szCs w:val="24"/>
          <w:lang w:val="bg-BG"/>
        </w:rPr>
        <w:t xml:space="preserve">за показател </w:t>
      </w:r>
      <w:r>
        <w:rPr>
          <w:color w:val="000000"/>
          <w:sz w:val="24"/>
          <w:szCs w:val="24"/>
        </w:rPr>
        <w:t>5</w:t>
      </w:r>
      <w:r>
        <w:rPr>
          <w:color w:val="000000"/>
          <w:sz w:val="24"/>
          <w:szCs w:val="24"/>
          <w:lang w:val="bg-BG"/>
        </w:rPr>
        <w:t>.</w:t>
      </w:r>
      <w:r w:rsidRPr="00756B52">
        <w:rPr>
          <w:color w:val="000000"/>
          <w:sz w:val="16"/>
          <w:szCs w:val="16"/>
          <w:u w:val="single"/>
        </w:rPr>
        <w:t xml:space="preserve"> </w:t>
      </w:r>
      <w:r w:rsidRPr="00756B52">
        <w:rPr>
          <w:color w:val="000000"/>
          <w:sz w:val="24"/>
          <w:szCs w:val="24"/>
          <w:u w:val="single"/>
        </w:rPr>
        <w:t>Отношение на обща капиталова адекватност</w:t>
      </w:r>
      <w:r w:rsidRPr="00756B52">
        <w:rPr>
          <w:color w:val="000000"/>
          <w:sz w:val="24"/>
          <w:szCs w:val="24"/>
        </w:rPr>
        <w:t>, изчислена към края на последния приключен тримесечен отчетен пе</w:t>
      </w:r>
      <w:r>
        <w:rPr>
          <w:color w:val="000000"/>
          <w:sz w:val="24"/>
          <w:szCs w:val="24"/>
        </w:rPr>
        <w:t xml:space="preserve">риод съгласно методиката на БНБ – </w:t>
      </w:r>
      <w:r>
        <w:rPr>
          <w:color w:val="000000"/>
          <w:sz w:val="24"/>
          <w:szCs w:val="24"/>
          <w:lang w:val="bg-BG"/>
        </w:rPr>
        <w:t>1</w:t>
      </w:r>
      <w:r>
        <w:rPr>
          <w:color w:val="000000"/>
          <w:sz w:val="24"/>
          <w:szCs w:val="24"/>
        </w:rPr>
        <w:t>,</w:t>
      </w:r>
      <w:r>
        <w:rPr>
          <w:color w:val="000000"/>
          <w:sz w:val="24"/>
          <w:szCs w:val="24"/>
          <w:lang w:val="bg-BG"/>
        </w:rPr>
        <w:t>00</w:t>
      </w:r>
      <w:r>
        <w:rPr>
          <w:color w:val="000000"/>
          <w:sz w:val="24"/>
          <w:szCs w:val="24"/>
        </w:rPr>
        <w:t xml:space="preserve"> </w:t>
      </w:r>
      <w:r>
        <w:rPr>
          <w:color w:val="000000"/>
          <w:sz w:val="24"/>
          <w:szCs w:val="24"/>
          <w:lang w:val="bg-BG"/>
        </w:rPr>
        <w:t>точки</w:t>
      </w:r>
      <w:r>
        <w:rPr>
          <w:color w:val="000000"/>
          <w:sz w:val="24"/>
          <w:szCs w:val="24"/>
        </w:rPr>
        <w:t>;</w:t>
      </w:r>
    </w:p>
    <w:p w:rsidR="00494303" w:rsidRDefault="00494303" w:rsidP="00494303">
      <w:pPr>
        <w:jc w:val="both"/>
        <w:rPr>
          <w:color w:val="000000"/>
          <w:sz w:val="24"/>
          <w:szCs w:val="24"/>
        </w:rPr>
      </w:pPr>
      <w:r>
        <w:rPr>
          <w:color w:val="000000"/>
          <w:sz w:val="24"/>
          <w:szCs w:val="24"/>
        </w:rPr>
        <w:t xml:space="preserve">   </w:t>
      </w:r>
      <w:r>
        <w:rPr>
          <w:color w:val="000000"/>
          <w:sz w:val="24"/>
          <w:szCs w:val="24"/>
          <w:lang w:val="bg-BG"/>
        </w:rPr>
        <w:t xml:space="preserve">      </w:t>
      </w:r>
      <w:r>
        <w:rPr>
          <w:color w:val="000000"/>
          <w:sz w:val="24"/>
          <w:szCs w:val="24"/>
        </w:rPr>
        <w:t xml:space="preserve"> -  </w:t>
      </w:r>
      <w:r>
        <w:rPr>
          <w:color w:val="000000"/>
          <w:sz w:val="24"/>
          <w:szCs w:val="24"/>
          <w:lang w:val="bg-BG"/>
        </w:rPr>
        <w:t xml:space="preserve">за показател </w:t>
      </w:r>
      <w:r>
        <w:rPr>
          <w:color w:val="000000"/>
          <w:sz w:val="24"/>
          <w:szCs w:val="24"/>
        </w:rPr>
        <w:t xml:space="preserve">6. </w:t>
      </w:r>
      <w:r w:rsidRPr="0058580D">
        <w:rPr>
          <w:color w:val="000000"/>
          <w:sz w:val="24"/>
          <w:szCs w:val="24"/>
          <w:u w:val="single"/>
        </w:rPr>
        <w:t>Коефициент на ликвидните активи</w:t>
      </w:r>
      <w:r w:rsidRPr="0058580D">
        <w:rPr>
          <w:color w:val="000000"/>
          <w:sz w:val="24"/>
          <w:szCs w:val="24"/>
        </w:rPr>
        <w:t>, изчислен към края на последния приключен тримесечен отчетен период съгласно методиката на БНБ</w:t>
      </w:r>
      <w:r>
        <w:rPr>
          <w:color w:val="000000"/>
          <w:sz w:val="24"/>
          <w:szCs w:val="24"/>
        </w:rPr>
        <w:t xml:space="preserve"> – 1</w:t>
      </w:r>
      <w:r>
        <w:rPr>
          <w:color w:val="000000"/>
          <w:sz w:val="24"/>
          <w:szCs w:val="24"/>
          <w:lang w:val="bg-BG"/>
        </w:rPr>
        <w:t>3</w:t>
      </w:r>
      <w:r>
        <w:rPr>
          <w:color w:val="000000"/>
          <w:sz w:val="24"/>
          <w:szCs w:val="24"/>
        </w:rPr>
        <w:t>,</w:t>
      </w:r>
      <w:r>
        <w:rPr>
          <w:color w:val="000000"/>
          <w:sz w:val="24"/>
          <w:szCs w:val="24"/>
          <w:lang w:val="bg-BG"/>
        </w:rPr>
        <w:t>76 точки.</w:t>
      </w:r>
    </w:p>
    <w:p w:rsidR="001F20E7" w:rsidRPr="00494303" w:rsidRDefault="001F20E7" w:rsidP="00F52DFD">
      <w:pPr>
        <w:jc w:val="both"/>
        <w:rPr>
          <w:b/>
          <w:sz w:val="24"/>
          <w:szCs w:val="24"/>
          <w:lang w:val="bg-BG"/>
        </w:rPr>
      </w:pPr>
    </w:p>
    <w:sectPr w:rsidR="001F20E7" w:rsidRPr="00494303" w:rsidSect="00494303">
      <w:pgSz w:w="12240" w:h="15840"/>
      <w:pgMar w:top="425" w:right="851" w:bottom="448" w:left="851" w:header="709" w:footer="26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20" w:rsidRDefault="000C5820">
      <w:r>
        <w:separator/>
      </w:r>
    </w:p>
  </w:endnote>
  <w:endnote w:type="continuationSeparator" w:id="0">
    <w:p w:rsidR="000C5820" w:rsidRDefault="000C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e">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20" w:rsidRDefault="000C5820">
      <w:r>
        <w:separator/>
      </w:r>
    </w:p>
  </w:footnote>
  <w:footnote w:type="continuationSeparator" w:id="0">
    <w:p w:rsidR="000C5820" w:rsidRDefault="000C5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75A"/>
    <w:multiLevelType w:val="hybridMultilevel"/>
    <w:tmpl w:val="CA0A7954"/>
    <w:lvl w:ilvl="0" w:tplc="2CBEC6EC">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51F02218"/>
    <w:multiLevelType w:val="hybridMultilevel"/>
    <w:tmpl w:val="7A046A5A"/>
    <w:lvl w:ilvl="0" w:tplc="9E7EC0BC">
      <w:start w:val="3"/>
      <w:numFmt w:val="bullet"/>
      <w:lvlText w:val="-"/>
      <w:lvlJc w:val="left"/>
      <w:pPr>
        <w:ind w:left="885" w:hanging="360"/>
      </w:pPr>
      <w:rPr>
        <w:rFonts w:ascii="Times New Roman" w:eastAsia="Times New Roman"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2">
    <w:nsid w:val="564A1B20"/>
    <w:multiLevelType w:val="hybridMultilevel"/>
    <w:tmpl w:val="CA0A7954"/>
    <w:lvl w:ilvl="0" w:tplc="2CBEC6EC">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nsid w:val="59892C05"/>
    <w:multiLevelType w:val="hybridMultilevel"/>
    <w:tmpl w:val="CA0A7954"/>
    <w:lvl w:ilvl="0" w:tplc="2CBEC6EC">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nsid w:val="65DD1720"/>
    <w:multiLevelType w:val="hybridMultilevel"/>
    <w:tmpl w:val="CA0A7954"/>
    <w:lvl w:ilvl="0" w:tplc="2CBEC6EC">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5">
    <w:nsid w:val="7A6247E3"/>
    <w:multiLevelType w:val="hybridMultilevel"/>
    <w:tmpl w:val="57861972"/>
    <w:lvl w:ilvl="0" w:tplc="A65816DC">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24D8"/>
    <w:rsid w:val="00010CE4"/>
    <w:rsid w:val="000174F4"/>
    <w:rsid w:val="000239C9"/>
    <w:rsid w:val="000320ED"/>
    <w:rsid w:val="000342E8"/>
    <w:rsid w:val="00057436"/>
    <w:rsid w:val="000614CD"/>
    <w:rsid w:val="00070AC1"/>
    <w:rsid w:val="00081697"/>
    <w:rsid w:val="000A189A"/>
    <w:rsid w:val="000A4D1E"/>
    <w:rsid w:val="000B24D8"/>
    <w:rsid w:val="000B3B11"/>
    <w:rsid w:val="000C5820"/>
    <w:rsid w:val="000D4342"/>
    <w:rsid w:val="000E468B"/>
    <w:rsid w:val="000E5486"/>
    <w:rsid w:val="000E57C2"/>
    <w:rsid w:val="000E761C"/>
    <w:rsid w:val="00107185"/>
    <w:rsid w:val="00107B5A"/>
    <w:rsid w:val="00111698"/>
    <w:rsid w:val="0012308B"/>
    <w:rsid w:val="00124FAA"/>
    <w:rsid w:val="00125D56"/>
    <w:rsid w:val="0013490A"/>
    <w:rsid w:val="0013716A"/>
    <w:rsid w:val="0014059B"/>
    <w:rsid w:val="00151E33"/>
    <w:rsid w:val="00154060"/>
    <w:rsid w:val="001678EC"/>
    <w:rsid w:val="001816D4"/>
    <w:rsid w:val="00195648"/>
    <w:rsid w:val="001A4534"/>
    <w:rsid w:val="001C2FFE"/>
    <w:rsid w:val="001D779F"/>
    <w:rsid w:val="001E6C01"/>
    <w:rsid w:val="001F117A"/>
    <w:rsid w:val="001F20E7"/>
    <w:rsid w:val="00201779"/>
    <w:rsid w:val="00204F39"/>
    <w:rsid w:val="00213C3F"/>
    <w:rsid w:val="002201C9"/>
    <w:rsid w:val="0022366E"/>
    <w:rsid w:val="00246808"/>
    <w:rsid w:val="00253A2F"/>
    <w:rsid w:val="00254EA8"/>
    <w:rsid w:val="002550BB"/>
    <w:rsid w:val="0026289D"/>
    <w:rsid w:val="0026473D"/>
    <w:rsid w:val="00267EF1"/>
    <w:rsid w:val="0027112B"/>
    <w:rsid w:val="002764E9"/>
    <w:rsid w:val="00286E49"/>
    <w:rsid w:val="002A0F4B"/>
    <w:rsid w:val="002B3A81"/>
    <w:rsid w:val="002E3FD8"/>
    <w:rsid w:val="003017E9"/>
    <w:rsid w:val="00301C25"/>
    <w:rsid w:val="003177A8"/>
    <w:rsid w:val="00322247"/>
    <w:rsid w:val="00354C05"/>
    <w:rsid w:val="00363DE9"/>
    <w:rsid w:val="00370AEF"/>
    <w:rsid w:val="003A284C"/>
    <w:rsid w:val="003A2AF1"/>
    <w:rsid w:val="003D0946"/>
    <w:rsid w:val="003D202F"/>
    <w:rsid w:val="003D44A3"/>
    <w:rsid w:val="00407DFF"/>
    <w:rsid w:val="004339BE"/>
    <w:rsid w:val="004377EB"/>
    <w:rsid w:val="0044183A"/>
    <w:rsid w:val="004420B9"/>
    <w:rsid w:val="00442A07"/>
    <w:rsid w:val="004516DD"/>
    <w:rsid w:val="00453BA2"/>
    <w:rsid w:val="00470C6C"/>
    <w:rsid w:val="00471354"/>
    <w:rsid w:val="004760E7"/>
    <w:rsid w:val="00485C5F"/>
    <w:rsid w:val="00487155"/>
    <w:rsid w:val="0049133E"/>
    <w:rsid w:val="004919EF"/>
    <w:rsid w:val="00494139"/>
    <w:rsid w:val="00494303"/>
    <w:rsid w:val="00495658"/>
    <w:rsid w:val="004A11FE"/>
    <w:rsid w:val="004A27DB"/>
    <w:rsid w:val="004A5B8F"/>
    <w:rsid w:val="004B19C6"/>
    <w:rsid w:val="004C641D"/>
    <w:rsid w:val="004D2363"/>
    <w:rsid w:val="004D3D0A"/>
    <w:rsid w:val="004E2B06"/>
    <w:rsid w:val="005138ED"/>
    <w:rsid w:val="00513BCF"/>
    <w:rsid w:val="00516735"/>
    <w:rsid w:val="00544724"/>
    <w:rsid w:val="005505E7"/>
    <w:rsid w:val="005604E3"/>
    <w:rsid w:val="00560E36"/>
    <w:rsid w:val="00567FBE"/>
    <w:rsid w:val="00597E7D"/>
    <w:rsid w:val="005A6E7A"/>
    <w:rsid w:val="005A78C7"/>
    <w:rsid w:val="005B08B2"/>
    <w:rsid w:val="005C219F"/>
    <w:rsid w:val="005E4355"/>
    <w:rsid w:val="005F6621"/>
    <w:rsid w:val="005F709E"/>
    <w:rsid w:val="005F741D"/>
    <w:rsid w:val="00610528"/>
    <w:rsid w:val="00610D83"/>
    <w:rsid w:val="00610ED2"/>
    <w:rsid w:val="00620D86"/>
    <w:rsid w:val="00621BB8"/>
    <w:rsid w:val="0062220A"/>
    <w:rsid w:val="00635D4A"/>
    <w:rsid w:val="0063770D"/>
    <w:rsid w:val="00642009"/>
    <w:rsid w:val="006478AD"/>
    <w:rsid w:val="00654E0C"/>
    <w:rsid w:val="006626C8"/>
    <w:rsid w:val="006649B9"/>
    <w:rsid w:val="006849BE"/>
    <w:rsid w:val="00696ECC"/>
    <w:rsid w:val="006A70BF"/>
    <w:rsid w:val="006C1DB7"/>
    <w:rsid w:val="006D5CCD"/>
    <w:rsid w:val="006E215C"/>
    <w:rsid w:val="00706A92"/>
    <w:rsid w:val="00717D13"/>
    <w:rsid w:val="007200BC"/>
    <w:rsid w:val="007241B0"/>
    <w:rsid w:val="00743EB1"/>
    <w:rsid w:val="0074699B"/>
    <w:rsid w:val="00750E91"/>
    <w:rsid w:val="00765C73"/>
    <w:rsid w:val="0077303E"/>
    <w:rsid w:val="00774310"/>
    <w:rsid w:val="00796CCA"/>
    <w:rsid w:val="007D72C8"/>
    <w:rsid w:val="007E637A"/>
    <w:rsid w:val="007E63FB"/>
    <w:rsid w:val="007E6BE0"/>
    <w:rsid w:val="007F0CB8"/>
    <w:rsid w:val="00803A36"/>
    <w:rsid w:val="00814105"/>
    <w:rsid w:val="008150DE"/>
    <w:rsid w:val="00832582"/>
    <w:rsid w:val="00832AD8"/>
    <w:rsid w:val="00835C84"/>
    <w:rsid w:val="00850E2C"/>
    <w:rsid w:val="00894399"/>
    <w:rsid w:val="00894EB9"/>
    <w:rsid w:val="008A2021"/>
    <w:rsid w:val="008A27DB"/>
    <w:rsid w:val="008A397F"/>
    <w:rsid w:val="008A7A51"/>
    <w:rsid w:val="008B1F6C"/>
    <w:rsid w:val="008D74F1"/>
    <w:rsid w:val="008E3E60"/>
    <w:rsid w:val="008F1BE6"/>
    <w:rsid w:val="008F37BD"/>
    <w:rsid w:val="008F5178"/>
    <w:rsid w:val="0090263A"/>
    <w:rsid w:val="009052E0"/>
    <w:rsid w:val="0091273A"/>
    <w:rsid w:val="009311EE"/>
    <w:rsid w:val="00936886"/>
    <w:rsid w:val="00946306"/>
    <w:rsid w:val="009638C0"/>
    <w:rsid w:val="009706ED"/>
    <w:rsid w:val="009753C8"/>
    <w:rsid w:val="00980DF5"/>
    <w:rsid w:val="0099744F"/>
    <w:rsid w:val="00997512"/>
    <w:rsid w:val="009A3D30"/>
    <w:rsid w:val="009A67D3"/>
    <w:rsid w:val="009B51A3"/>
    <w:rsid w:val="009B79D2"/>
    <w:rsid w:val="009C1DF4"/>
    <w:rsid w:val="009D4D33"/>
    <w:rsid w:val="009D7F27"/>
    <w:rsid w:val="009E269A"/>
    <w:rsid w:val="009E4F2C"/>
    <w:rsid w:val="009E598A"/>
    <w:rsid w:val="009F1E22"/>
    <w:rsid w:val="009F54C8"/>
    <w:rsid w:val="00A0379A"/>
    <w:rsid w:val="00A12A90"/>
    <w:rsid w:val="00A14096"/>
    <w:rsid w:val="00A150CC"/>
    <w:rsid w:val="00A206E7"/>
    <w:rsid w:val="00A33B0E"/>
    <w:rsid w:val="00A439E3"/>
    <w:rsid w:val="00A44744"/>
    <w:rsid w:val="00A46A09"/>
    <w:rsid w:val="00A61052"/>
    <w:rsid w:val="00A662DD"/>
    <w:rsid w:val="00A71310"/>
    <w:rsid w:val="00AC1164"/>
    <w:rsid w:val="00AC4097"/>
    <w:rsid w:val="00AC4E5D"/>
    <w:rsid w:val="00AE4B9D"/>
    <w:rsid w:val="00AF2E43"/>
    <w:rsid w:val="00B13506"/>
    <w:rsid w:val="00B1566B"/>
    <w:rsid w:val="00B21C65"/>
    <w:rsid w:val="00B24E3E"/>
    <w:rsid w:val="00B25E2F"/>
    <w:rsid w:val="00B55C92"/>
    <w:rsid w:val="00B621D0"/>
    <w:rsid w:val="00B625F4"/>
    <w:rsid w:val="00B8509D"/>
    <w:rsid w:val="00B91DB6"/>
    <w:rsid w:val="00B968C3"/>
    <w:rsid w:val="00BC4901"/>
    <w:rsid w:val="00BC6303"/>
    <w:rsid w:val="00BD42E9"/>
    <w:rsid w:val="00BD5D93"/>
    <w:rsid w:val="00BD7925"/>
    <w:rsid w:val="00BE3E10"/>
    <w:rsid w:val="00BE72E0"/>
    <w:rsid w:val="00BF7F74"/>
    <w:rsid w:val="00C011C8"/>
    <w:rsid w:val="00C06826"/>
    <w:rsid w:val="00C1077F"/>
    <w:rsid w:val="00C16EAD"/>
    <w:rsid w:val="00C403AD"/>
    <w:rsid w:val="00C51E39"/>
    <w:rsid w:val="00C523CB"/>
    <w:rsid w:val="00C660CF"/>
    <w:rsid w:val="00C857B0"/>
    <w:rsid w:val="00C91DF0"/>
    <w:rsid w:val="00C92E41"/>
    <w:rsid w:val="00C951B2"/>
    <w:rsid w:val="00C96E35"/>
    <w:rsid w:val="00CA771B"/>
    <w:rsid w:val="00CB3A5A"/>
    <w:rsid w:val="00CC651C"/>
    <w:rsid w:val="00CD0A8C"/>
    <w:rsid w:val="00CE0DCC"/>
    <w:rsid w:val="00CE5350"/>
    <w:rsid w:val="00D0495E"/>
    <w:rsid w:val="00D12F73"/>
    <w:rsid w:val="00D1599A"/>
    <w:rsid w:val="00D237E5"/>
    <w:rsid w:val="00D301A0"/>
    <w:rsid w:val="00D3500A"/>
    <w:rsid w:val="00D47092"/>
    <w:rsid w:val="00D53068"/>
    <w:rsid w:val="00D5765A"/>
    <w:rsid w:val="00D6404C"/>
    <w:rsid w:val="00D67A76"/>
    <w:rsid w:val="00DB117B"/>
    <w:rsid w:val="00DB5A5A"/>
    <w:rsid w:val="00DD5706"/>
    <w:rsid w:val="00DE3E90"/>
    <w:rsid w:val="00E02FE9"/>
    <w:rsid w:val="00E10A76"/>
    <w:rsid w:val="00E12E39"/>
    <w:rsid w:val="00E260D5"/>
    <w:rsid w:val="00E409B6"/>
    <w:rsid w:val="00E41F76"/>
    <w:rsid w:val="00E46683"/>
    <w:rsid w:val="00E56943"/>
    <w:rsid w:val="00E626D8"/>
    <w:rsid w:val="00E71093"/>
    <w:rsid w:val="00E721A6"/>
    <w:rsid w:val="00E809A4"/>
    <w:rsid w:val="00E90E57"/>
    <w:rsid w:val="00EA62B8"/>
    <w:rsid w:val="00EC5D2E"/>
    <w:rsid w:val="00ED66B4"/>
    <w:rsid w:val="00EF77CD"/>
    <w:rsid w:val="00F04C71"/>
    <w:rsid w:val="00F13EBE"/>
    <w:rsid w:val="00F32AF2"/>
    <w:rsid w:val="00F34ED5"/>
    <w:rsid w:val="00F356E6"/>
    <w:rsid w:val="00F4778A"/>
    <w:rsid w:val="00F52DFD"/>
    <w:rsid w:val="00F7327F"/>
    <w:rsid w:val="00F81E34"/>
    <w:rsid w:val="00F86E34"/>
    <w:rsid w:val="00F86F9A"/>
    <w:rsid w:val="00F87553"/>
    <w:rsid w:val="00F91F2E"/>
    <w:rsid w:val="00F979F0"/>
    <w:rsid w:val="00FB2503"/>
    <w:rsid w:val="00FB36B5"/>
    <w:rsid w:val="00FC2526"/>
    <w:rsid w:val="00FC7103"/>
    <w:rsid w:val="00FD0B5F"/>
    <w:rsid w:val="00FD2455"/>
    <w:rsid w:val="00FD62DA"/>
    <w:rsid w:val="00FE2A8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6D8"/>
    <w:rPr>
      <w:lang w:val="en-US"/>
    </w:rPr>
  </w:style>
  <w:style w:type="paragraph" w:styleId="Heading1">
    <w:name w:val="heading 1"/>
    <w:basedOn w:val="Normal"/>
    <w:next w:val="Normal"/>
    <w:qFormat/>
    <w:rsid w:val="00E626D8"/>
    <w:pPr>
      <w:keepNext/>
      <w:outlineLvl w:val="0"/>
    </w:pPr>
    <w:rPr>
      <w:i/>
      <w:sz w:val="24"/>
      <w:lang w:val="bg-BG"/>
    </w:rPr>
  </w:style>
  <w:style w:type="paragraph" w:styleId="Heading2">
    <w:name w:val="heading 2"/>
    <w:basedOn w:val="Normal"/>
    <w:next w:val="Normal"/>
    <w:qFormat/>
    <w:rsid w:val="00E626D8"/>
    <w:pPr>
      <w:keepNext/>
      <w:ind w:firstLine="708"/>
      <w:jc w:val="both"/>
      <w:outlineLvl w:val="1"/>
    </w:pPr>
    <w:rPr>
      <w:b/>
      <w:sz w:val="24"/>
    </w:rPr>
  </w:style>
  <w:style w:type="paragraph" w:styleId="Heading3">
    <w:name w:val="heading 3"/>
    <w:basedOn w:val="Normal"/>
    <w:next w:val="Normal"/>
    <w:qFormat/>
    <w:rsid w:val="00E626D8"/>
    <w:pPr>
      <w:keepNext/>
      <w:outlineLvl w:val="2"/>
    </w:pPr>
    <w:rPr>
      <w:b/>
      <w:sz w:val="24"/>
      <w:lang w:val="bg-BG"/>
    </w:rPr>
  </w:style>
  <w:style w:type="paragraph" w:styleId="Heading5">
    <w:name w:val="heading 5"/>
    <w:basedOn w:val="Normal"/>
    <w:next w:val="Normal"/>
    <w:qFormat/>
    <w:rsid w:val="00363DE9"/>
    <w:pPr>
      <w:spacing w:before="240" w:after="60"/>
      <w:outlineLvl w:val="4"/>
    </w:pPr>
    <w:rPr>
      <w:b/>
      <w:bCs/>
      <w:i/>
      <w:iCs/>
      <w:sz w:val="26"/>
      <w:szCs w:val="26"/>
    </w:rPr>
  </w:style>
  <w:style w:type="paragraph" w:styleId="Heading8">
    <w:name w:val="heading 8"/>
    <w:basedOn w:val="Normal"/>
    <w:next w:val="Normal"/>
    <w:qFormat/>
    <w:rsid w:val="00E626D8"/>
    <w:pPr>
      <w:keepNext/>
      <w:suppressAutoHyphens/>
      <w:jc w:val="both"/>
      <w:outlineLvl w:val="7"/>
    </w:pPr>
    <w:rPr>
      <w:b/>
      <w:sz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26D8"/>
    <w:pPr>
      <w:jc w:val="both"/>
    </w:pPr>
    <w:rPr>
      <w:rFonts w:ascii="Geneve" w:hAnsi="Geneve"/>
      <w:sz w:val="24"/>
      <w:lang w:val="bg-BG" w:eastAsia="en-US"/>
    </w:rPr>
  </w:style>
  <w:style w:type="paragraph" w:styleId="BodyText3">
    <w:name w:val="Body Text 3"/>
    <w:basedOn w:val="Normal"/>
    <w:rsid w:val="00E626D8"/>
    <w:pPr>
      <w:jc w:val="both"/>
    </w:pPr>
    <w:rPr>
      <w:sz w:val="24"/>
      <w:lang w:val="bg-BG"/>
    </w:rPr>
  </w:style>
  <w:style w:type="paragraph" w:styleId="BodyText2">
    <w:name w:val="Body Text 2"/>
    <w:basedOn w:val="Normal"/>
    <w:rsid w:val="00E626D8"/>
    <w:pPr>
      <w:jc w:val="both"/>
    </w:pPr>
    <w:rPr>
      <w:color w:val="000000"/>
      <w:sz w:val="24"/>
      <w:lang w:val="bg-BG"/>
    </w:rPr>
  </w:style>
  <w:style w:type="paragraph" w:styleId="BodyTextIndent">
    <w:name w:val="Body Text Indent"/>
    <w:basedOn w:val="Normal"/>
    <w:link w:val="BodyTextIndentChar"/>
    <w:rsid w:val="00E626D8"/>
    <w:pPr>
      <w:tabs>
        <w:tab w:val="left" w:pos="-180"/>
      </w:tabs>
      <w:ind w:right="74" w:firstLine="720"/>
      <w:jc w:val="both"/>
    </w:pPr>
    <w:rPr>
      <w:sz w:val="24"/>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E626D8"/>
    <w:pPr>
      <w:tabs>
        <w:tab w:val="center" w:pos="4320"/>
        <w:tab w:val="right" w:pos="8640"/>
      </w:tabs>
    </w:pPr>
    <w:rPr>
      <w:sz w:val="24"/>
      <w:lang w:val="fr-FR" w:eastAsia="en-US"/>
    </w:rPr>
  </w:style>
  <w:style w:type="paragraph" w:styleId="BodyTextIndent3">
    <w:name w:val="Body Text Indent 3"/>
    <w:basedOn w:val="Normal"/>
    <w:link w:val="BodyTextIndent3Char"/>
    <w:rsid w:val="00E626D8"/>
    <w:pPr>
      <w:ind w:left="567" w:firstLine="284"/>
      <w:jc w:val="both"/>
    </w:pPr>
    <w:rPr>
      <w:rFonts w:ascii="Arial" w:hAnsi="Arial"/>
      <w:sz w:val="24"/>
      <w:lang w:val="bg-BG" w:eastAsia="en-US"/>
    </w:rPr>
  </w:style>
  <w:style w:type="paragraph" w:styleId="BodyTextIndent2">
    <w:name w:val="Body Text Indent 2"/>
    <w:basedOn w:val="Normal"/>
    <w:rsid w:val="00E626D8"/>
    <w:pPr>
      <w:ind w:firstLine="720"/>
      <w:jc w:val="both"/>
    </w:pPr>
    <w:rPr>
      <w:rFonts w:ascii="Geneve" w:hAnsi="Geneve"/>
      <w:sz w:val="24"/>
      <w:lang w:val="bg-BG" w:eastAsia="en-US"/>
    </w:rPr>
  </w:style>
  <w:style w:type="paragraph" w:styleId="Header">
    <w:name w:val="header"/>
    <w:basedOn w:val="Normal"/>
    <w:rsid w:val="00E626D8"/>
    <w:pPr>
      <w:tabs>
        <w:tab w:val="center" w:pos="4320"/>
        <w:tab w:val="right" w:pos="8640"/>
      </w:tabs>
    </w:pPr>
  </w:style>
  <w:style w:type="paragraph" w:customStyle="1" w:styleId="CharChar1Char">
    <w:name w:val="Char Char1 Знак Знак Char"/>
    <w:basedOn w:val="Normal"/>
    <w:rsid w:val="00CC651C"/>
    <w:pPr>
      <w:tabs>
        <w:tab w:val="left" w:pos="709"/>
      </w:tabs>
    </w:pPr>
    <w:rPr>
      <w:rFonts w:ascii="Tahoma" w:hAnsi="Tahoma"/>
      <w:sz w:val="24"/>
      <w:szCs w:val="24"/>
      <w:lang w:val="pl-PL" w:eastAsia="pl-PL"/>
    </w:rPr>
  </w:style>
  <w:style w:type="paragraph" w:customStyle="1" w:styleId="CharChar1Char0">
    <w:name w:val="Char Char1 Знак Знак Char"/>
    <w:basedOn w:val="Normal"/>
    <w:rsid w:val="00E90E57"/>
    <w:pPr>
      <w:tabs>
        <w:tab w:val="left" w:pos="709"/>
      </w:tabs>
    </w:pPr>
    <w:rPr>
      <w:rFonts w:ascii="Tahoma" w:hAnsi="Tahoma"/>
      <w:sz w:val="24"/>
      <w:szCs w:val="24"/>
      <w:lang w:val="pl-PL" w:eastAsia="pl-PL"/>
    </w:rPr>
  </w:style>
  <w:style w:type="character" w:styleId="Hyperlink">
    <w:name w:val="Hyperlink"/>
    <w:basedOn w:val="DefaultParagraphFont"/>
    <w:rsid w:val="00E90E57"/>
    <w:rPr>
      <w:color w:val="0000FF"/>
      <w:u w:val="single"/>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E90E57"/>
    <w:rPr>
      <w:sz w:val="24"/>
      <w:lang w:val="fr-FR" w:eastAsia="en-US" w:bidi="ar-SA"/>
    </w:rPr>
  </w:style>
  <w:style w:type="character" w:customStyle="1" w:styleId="CharChar1">
    <w:name w:val="Char Char1"/>
    <w:basedOn w:val="DefaultParagraphFont"/>
    <w:rsid w:val="00363DE9"/>
    <w:rPr>
      <w:rFonts w:ascii="Arial" w:hAnsi="Arial"/>
      <w:sz w:val="22"/>
      <w:lang w:val="en-US" w:eastAsia="en-US" w:bidi="ar-SA"/>
    </w:rPr>
  </w:style>
  <w:style w:type="character" w:customStyle="1" w:styleId="BodyTextIndentChar">
    <w:name w:val="Body Text Indent Char"/>
    <w:basedOn w:val="DefaultParagraphFont"/>
    <w:link w:val="BodyTextIndent"/>
    <w:rsid w:val="00AC4E5D"/>
    <w:rPr>
      <w:sz w:val="24"/>
      <w:lang w:val="en-US"/>
    </w:rPr>
  </w:style>
  <w:style w:type="character" w:customStyle="1" w:styleId="BodyTextIndent3Char">
    <w:name w:val="Body Text Indent 3 Char"/>
    <w:basedOn w:val="DefaultParagraphFont"/>
    <w:link w:val="BodyTextIndent3"/>
    <w:rsid w:val="00AC4E5D"/>
    <w:rPr>
      <w:rFonts w:ascii="Arial" w:hAnsi="Arial"/>
      <w:sz w:val="24"/>
      <w:lang w:eastAsia="en-US"/>
    </w:rPr>
  </w:style>
  <w:style w:type="character" w:customStyle="1" w:styleId="BodyTextChar">
    <w:name w:val="Body Text Char"/>
    <w:basedOn w:val="DefaultParagraphFont"/>
    <w:link w:val="BodyText"/>
    <w:rsid w:val="00894EB9"/>
    <w:rPr>
      <w:rFonts w:ascii="Geneve" w:hAnsi="Geneve"/>
      <w:sz w:val="24"/>
      <w:lang w:eastAsia="en-US"/>
    </w:rPr>
  </w:style>
  <w:style w:type="paragraph" w:styleId="ListParagraph">
    <w:name w:val="List Paragraph"/>
    <w:basedOn w:val="Normal"/>
    <w:uiPriority w:val="34"/>
    <w:qFormat/>
    <w:rsid w:val="003D44A3"/>
    <w:pPr>
      <w:widowControl w:val="0"/>
      <w:autoSpaceDE w:val="0"/>
      <w:autoSpaceDN w:val="0"/>
      <w:adjustRightInd w:val="0"/>
      <w:ind w:left="708"/>
    </w:pPr>
    <w:rPr>
      <w:lang w:eastAsia="en-US"/>
    </w:rPr>
  </w:style>
</w:styles>
</file>

<file path=word/webSettings.xml><?xml version="1.0" encoding="utf-8"?>
<w:webSettings xmlns:r="http://schemas.openxmlformats.org/officeDocument/2006/relationships" xmlns:w="http://schemas.openxmlformats.org/wordprocessingml/2006/main">
  <w:divs>
    <w:div w:id="16742004">
      <w:bodyDiv w:val="1"/>
      <w:marLeft w:val="0"/>
      <w:marRight w:val="0"/>
      <w:marTop w:val="0"/>
      <w:marBottom w:val="0"/>
      <w:divBdr>
        <w:top w:val="none" w:sz="0" w:space="0" w:color="auto"/>
        <w:left w:val="none" w:sz="0" w:space="0" w:color="auto"/>
        <w:bottom w:val="none" w:sz="0" w:space="0" w:color="auto"/>
        <w:right w:val="none" w:sz="0" w:space="0" w:color="auto"/>
      </w:divBdr>
    </w:div>
    <w:div w:id="779766108">
      <w:bodyDiv w:val="1"/>
      <w:marLeft w:val="0"/>
      <w:marRight w:val="0"/>
      <w:marTop w:val="0"/>
      <w:marBottom w:val="0"/>
      <w:divBdr>
        <w:top w:val="none" w:sz="0" w:space="0" w:color="auto"/>
        <w:left w:val="none" w:sz="0" w:space="0" w:color="auto"/>
        <w:bottom w:val="none" w:sz="0" w:space="0" w:color="auto"/>
        <w:right w:val="none" w:sz="0" w:space="0" w:color="auto"/>
      </w:divBdr>
    </w:div>
    <w:div w:id="1375426062">
      <w:bodyDiv w:val="1"/>
      <w:marLeft w:val="0"/>
      <w:marRight w:val="0"/>
      <w:marTop w:val="0"/>
      <w:marBottom w:val="0"/>
      <w:divBdr>
        <w:top w:val="none" w:sz="0" w:space="0" w:color="auto"/>
        <w:left w:val="none" w:sz="0" w:space="0" w:color="auto"/>
        <w:bottom w:val="none" w:sz="0" w:space="0" w:color="auto"/>
        <w:right w:val="none" w:sz="0" w:space="0" w:color="auto"/>
      </w:divBdr>
    </w:div>
    <w:div w:id="1759448992">
      <w:bodyDiv w:val="1"/>
      <w:marLeft w:val="0"/>
      <w:marRight w:val="0"/>
      <w:marTop w:val="0"/>
      <w:marBottom w:val="0"/>
      <w:divBdr>
        <w:top w:val="none" w:sz="0" w:space="0" w:color="auto"/>
        <w:left w:val="none" w:sz="0" w:space="0" w:color="auto"/>
        <w:bottom w:val="none" w:sz="0" w:space="0" w:color="auto"/>
        <w:right w:val="none" w:sz="0" w:space="0" w:color="auto"/>
      </w:divBdr>
    </w:div>
    <w:div w:id="1918517635">
      <w:bodyDiv w:val="1"/>
      <w:marLeft w:val="0"/>
      <w:marRight w:val="0"/>
      <w:marTop w:val="0"/>
      <w:marBottom w:val="0"/>
      <w:divBdr>
        <w:top w:val="none" w:sz="0" w:space="0" w:color="auto"/>
        <w:left w:val="none" w:sz="0" w:space="0" w:color="auto"/>
        <w:bottom w:val="none" w:sz="0" w:space="0" w:color="auto"/>
        <w:right w:val="none" w:sz="0" w:space="0" w:color="auto"/>
      </w:divBdr>
    </w:div>
    <w:div w:id="20636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E3FF-E6B9-4518-8614-0C64D5BA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c:creator>
  <cp:lastModifiedBy>User</cp:lastModifiedBy>
  <cp:revision>10</cp:revision>
  <cp:lastPrinted>2015-09-24T08:11:00Z</cp:lastPrinted>
  <dcterms:created xsi:type="dcterms:W3CDTF">2016-07-08T13:43:00Z</dcterms:created>
  <dcterms:modified xsi:type="dcterms:W3CDTF">2016-07-14T07:43:00Z</dcterms:modified>
</cp:coreProperties>
</file>