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DC0B81" w:rsidRPr="00DC0B81">
        <w:rPr>
          <w:b/>
          <w:sz w:val="24"/>
          <w:szCs w:val="24"/>
          <w:lang w:val="bg-BG"/>
        </w:rPr>
        <w:t>„Провеждане на представително изследване на общественото мнение относно качеството на услугата „Превоз на пътници с железопътен транспорт”</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DC0B81" w:rsidRPr="00DC0B81">
        <w:rPr>
          <w:sz w:val="22"/>
          <w:szCs w:val="22"/>
          <w:lang w:val="bg-BG"/>
        </w:rPr>
        <w:t>„Провеждане на представително изследване на общественото мнение относно качеството на услугата „Превоз на пътници с железопътен транспорт”</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sidR="00625906">
        <w:rPr>
          <w:sz w:val="22"/>
          <w:szCs w:val="22"/>
          <w:lang w:val="ru-RU"/>
        </w:rPr>
        <w:t xml:space="preserve"> Технически</w:t>
      </w:r>
      <w:r>
        <w:rPr>
          <w:sz w:val="22"/>
          <w:szCs w:val="22"/>
          <w:lang w:val="ru-RU"/>
        </w:rPr>
        <w:t xml:space="preserve"> изисквания</w:t>
      </w:r>
      <w:r w:rsidR="00B05D1C">
        <w:rPr>
          <w:sz w:val="22"/>
          <w:szCs w:val="22"/>
          <w:lang w:val="ru-RU"/>
        </w:rPr>
        <w:t xml:space="preserve"> за </w:t>
      </w:r>
      <w:r w:rsidR="00DC0B81" w:rsidRPr="00DC0B81">
        <w:rPr>
          <w:sz w:val="22"/>
          <w:szCs w:val="22"/>
          <w:lang w:val="bg-BG"/>
        </w:rPr>
        <w:t>„Провеждане на представително изследване на общественото мнение относно качеството на услугата „Превоз на пътници с железопътен транспорт”</w:t>
      </w:r>
      <w:r w:rsidR="00DD5E03" w:rsidRPr="00DD5E03">
        <w:rPr>
          <w:sz w:val="22"/>
          <w:szCs w:val="22"/>
          <w:lang w:val="bg-BG"/>
        </w:rPr>
        <w:t xml:space="preserve"> за нуждите  на „БДЖ-Пътнически превози” ЕООД”</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DC0B81" w:rsidRPr="00DC0B81">
        <w:rPr>
          <w:sz w:val="24"/>
          <w:szCs w:val="24"/>
          <w:u w:val="none"/>
          <w:lang w:val="bg-BG"/>
        </w:rPr>
        <w:t>„Провеждане на представително изследване на общественото мнение относно качеството на услугата „Превоз на пътници с железопътен транспорт”</w:t>
      </w:r>
      <w:r w:rsidR="00DD5E03" w:rsidRPr="00DD5E03">
        <w:rPr>
          <w:sz w:val="24"/>
          <w:szCs w:val="24"/>
          <w:u w:val="none"/>
          <w:lang w:val="bg-BG"/>
        </w:rPr>
        <w:t xml:space="preserve">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X="354" w:tblpY="142"/>
        <w:tblW w:w="9922" w:type="dxa"/>
        <w:tblLayout w:type="fixed"/>
        <w:tblCellMar>
          <w:left w:w="70" w:type="dxa"/>
          <w:right w:w="70" w:type="dxa"/>
        </w:tblCellMar>
        <w:tblLook w:val="04A0" w:firstRow="1" w:lastRow="0" w:firstColumn="1" w:lastColumn="0" w:noHBand="0" w:noVBand="1"/>
      </w:tblPr>
      <w:tblGrid>
        <w:gridCol w:w="992"/>
        <w:gridCol w:w="2787"/>
        <w:gridCol w:w="827"/>
        <w:gridCol w:w="1276"/>
        <w:gridCol w:w="1631"/>
        <w:gridCol w:w="2409"/>
      </w:tblGrid>
      <w:tr w:rsidR="00712D5B" w:rsidRPr="00291760" w:rsidTr="00AA3EA7">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en-US" w:eastAsia="bg-BG"/>
              </w:rPr>
            </w:pPr>
            <w:r w:rsidRPr="00291760">
              <w:rPr>
                <w:b/>
                <w:bCs/>
                <w:color w:val="000000"/>
                <w:lang w:val="bg-BG" w:eastAsia="bg-BG"/>
              </w:rPr>
              <w:t>Наименование</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Мярка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Прогнозно количество</w:t>
            </w:r>
          </w:p>
        </w:tc>
        <w:tc>
          <w:tcPr>
            <w:tcW w:w="163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Ед. цена лева без ДДС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Цена общо</w:t>
            </w:r>
          </w:p>
        </w:tc>
      </w:tr>
      <w:tr w:rsidR="00712D5B" w:rsidRPr="00291760" w:rsidTr="00AA3EA7">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82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276"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631"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AA3EA7">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82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276"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631"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AA3EA7">
        <w:trPr>
          <w:trHeight w:val="410"/>
        </w:trPr>
        <w:tc>
          <w:tcPr>
            <w:tcW w:w="992" w:type="dxa"/>
            <w:tcBorders>
              <w:top w:val="nil"/>
              <w:left w:val="single" w:sz="4" w:space="0" w:color="auto"/>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Pr>
                <w:color w:val="000000"/>
                <w:lang w:val="bg-BG" w:eastAsia="bg-BG"/>
              </w:rPr>
              <w:t>1.</w:t>
            </w:r>
          </w:p>
        </w:tc>
        <w:tc>
          <w:tcPr>
            <w:tcW w:w="2787" w:type="dxa"/>
            <w:tcBorders>
              <w:top w:val="nil"/>
              <w:left w:val="nil"/>
              <w:bottom w:val="single" w:sz="4" w:space="0" w:color="auto"/>
              <w:right w:val="single" w:sz="4" w:space="0" w:color="auto"/>
            </w:tcBorders>
            <w:vAlign w:val="center"/>
            <w:hideMark/>
          </w:tcPr>
          <w:p w:rsidR="00712D5B" w:rsidRPr="00A81EC5" w:rsidRDefault="00AA3EA7" w:rsidP="006A7A89">
            <w:pPr>
              <w:rPr>
                <w:color w:val="000000"/>
                <w:lang w:val="bg-BG" w:eastAsia="bg-BG"/>
              </w:rPr>
            </w:pPr>
            <w:r>
              <w:rPr>
                <w:color w:val="000000"/>
                <w:lang w:val="bg-BG" w:eastAsia="bg-BG"/>
              </w:rPr>
              <w:t>И</w:t>
            </w:r>
            <w:r w:rsidRPr="00AA3EA7">
              <w:rPr>
                <w:color w:val="000000"/>
                <w:lang w:val="bg-BG" w:eastAsia="bg-BG"/>
              </w:rPr>
              <w:t>нтервюта на граждани, които формират национална представителни извадка</w:t>
            </w:r>
          </w:p>
        </w:tc>
        <w:tc>
          <w:tcPr>
            <w:tcW w:w="827" w:type="dxa"/>
            <w:tcBorders>
              <w:top w:val="nil"/>
              <w:left w:val="nil"/>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sidRPr="00291760">
              <w:rPr>
                <w:color w:val="000000"/>
                <w:lang w:val="bg-BG" w:eastAsia="bg-BG"/>
              </w:rPr>
              <w:t xml:space="preserve"> </w:t>
            </w:r>
            <w:r>
              <w:rPr>
                <w:color w:val="000000"/>
                <w:lang w:val="bg-BG" w:eastAsia="bg-BG"/>
              </w:rPr>
              <w:t>брой</w:t>
            </w:r>
          </w:p>
        </w:tc>
        <w:tc>
          <w:tcPr>
            <w:tcW w:w="1276" w:type="dxa"/>
            <w:tcBorders>
              <w:top w:val="nil"/>
              <w:left w:val="nil"/>
              <w:bottom w:val="single" w:sz="4" w:space="0" w:color="auto"/>
              <w:right w:val="single" w:sz="4" w:space="0" w:color="auto"/>
            </w:tcBorders>
            <w:vAlign w:val="center"/>
          </w:tcPr>
          <w:p w:rsidR="00712D5B" w:rsidRPr="006C2CB7" w:rsidRDefault="00AA3EA7" w:rsidP="006A7A89">
            <w:pPr>
              <w:jc w:val="center"/>
              <w:rPr>
                <w:b/>
                <w:bCs/>
                <w:lang w:val="bg-BG" w:eastAsia="bg-BG"/>
              </w:rPr>
            </w:pPr>
            <w:r>
              <w:rPr>
                <w:b/>
                <w:bCs/>
                <w:lang w:val="bg-BG" w:eastAsia="bg-BG"/>
              </w:rPr>
              <w:t>1</w:t>
            </w:r>
            <w:r w:rsidR="00DD5E03">
              <w:rPr>
                <w:b/>
                <w:bCs/>
                <w:lang w:val="bg-BG" w:eastAsia="bg-BG"/>
              </w:rPr>
              <w:t>000</w:t>
            </w:r>
          </w:p>
        </w:tc>
        <w:tc>
          <w:tcPr>
            <w:tcW w:w="1631"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r>
      <w:tr w:rsidR="00AA3EA7" w:rsidRPr="00291760" w:rsidTr="00AA3EA7">
        <w:trPr>
          <w:trHeight w:val="410"/>
        </w:trPr>
        <w:tc>
          <w:tcPr>
            <w:tcW w:w="992" w:type="dxa"/>
            <w:tcBorders>
              <w:top w:val="nil"/>
              <w:left w:val="single" w:sz="4" w:space="0" w:color="auto"/>
              <w:bottom w:val="single" w:sz="4" w:space="0" w:color="auto"/>
              <w:right w:val="single" w:sz="4" w:space="0" w:color="auto"/>
            </w:tcBorders>
            <w:vAlign w:val="center"/>
          </w:tcPr>
          <w:p w:rsidR="00AA3EA7" w:rsidRDefault="00AA3EA7" w:rsidP="00AA3EA7">
            <w:pPr>
              <w:jc w:val="center"/>
              <w:rPr>
                <w:color w:val="000000"/>
                <w:lang w:val="bg-BG" w:eastAsia="bg-BG"/>
              </w:rPr>
            </w:pPr>
            <w:r>
              <w:rPr>
                <w:color w:val="000000"/>
                <w:lang w:val="bg-BG" w:eastAsia="bg-BG"/>
              </w:rPr>
              <w:t>2.</w:t>
            </w:r>
          </w:p>
        </w:tc>
        <w:tc>
          <w:tcPr>
            <w:tcW w:w="2787" w:type="dxa"/>
            <w:tcBorders>
              <w:top w:val="nil"/>
              <w:left w:val="nil"/>
              <w:bottom w:val="single" w:sz="4" w:space="0" w:color="auto"/>
              <w:right w:val="single" w:sz="4" w:space="0" w:color="auto"/>
            </w:tcBorders>
            <w:vAlign w:val="center"/>
          </w:tcPr>
          <w:p w:rsidR="00AA3EA7" w:rsidRPr="00DC0B81" w:rsidRDefault="00AA3EA7" w:rsidP="00AA3EA7">
            <w:pPr>
              <w:rPr>
                <w:color w:val="000000"/>
                <w:lang w:val="bg-BG" w:eastAsia="bg-BG"/>
              </w:rPr>
            </w:pPr>
            <w:r>
              <w:rPr>
                <w:color w:val="000000"/>
                <w:lang w:val="bg-BG" w:eastAsia="bg-BG"/>
              </w:rPr>
              <w:t>И</w:t>
            </w:r>
            <w:r w:rsidRPr="00AA3EA7">
              <w:rPr>
                <w:color w:val="000000"/>
                <w:lang w:val="bg-BG" w:eastAsia="bg-BG"/>
              </w:rPr>
              <w:t>нтервюта на граждани, пътуващи с железопътен транспорт</w:t>
            </w:r>
          </w:p>
        </w:tc>
        <w:tc>
          <w:tcPr>
            <w:tcW w:w="827" w:type="dxa"/>
            <w:tcBorders>
              <w:top w:val="nil"/>
              <w:left w:val="nil"/>
              <w:bottom w:val="single" w:sz="4" w:space="0" w:color="auto"/>
              <w:right w:val="single" w:sz="4" w:space="0" w:color="auto"/>
            </w:tcBorders>
            <w:vAlign w:val="center"/>
          </w:tcPr>
          <w:p w:rsidR="00AA3EA7" w:rsidRPr="00291760" w:rsidRDefault="00AA3EA7" w:rsidP="00AA3EA7">
            <w:pPr>
              <w:jc w:val="center"/>
              <w:rPr>
                <w:color w:val="000000"/>
                <w:lang w:val="bg-BG" w:eastAsia="bg-BG"/>
              </w:rPr>
            </w:pPr>
            <w:r w:rsidRPr="00291760">
              <w:rPr>
                <w:color w:val="000000"/>
                <w:lang w:val="bg-BG" w:eastAsia="bg-BG"/>
              </w:rPr>
              <w:t xml:space="preserve"> </w:t>
            </w:r>
            <w:r>
              <w:rPr>
                <w:color w:val="000000"/>
                <w:lang w:val="bg-BG" w:eastAsia="bg-BG"/>
              </w:rPr>
              <w:t>брой</w:t>
            </w:r>
          </w:p>
        </w:tc>
        <w:tc>
          <w:tcPr>
            <w:tcW w:w="1276" w:type="dxa"/>
            <w:tcBorders>
              <w:top w:val="nil"/>
              <w:left w:val="nil"/>
              <w:bottom w:val="single" w:sz="4" w:space="0" w:color="auto"/>
              <w:right w:val="single" w:sz="4" w:space="0" w:color="auto"/>
            </w:tcBorders>
            <w:vAlign w:val="center"/>
          </w:tcPr>
          <w:p w:rsidR="00AA3EA7" w:rsidRPr="006C2CB7" w:rsidRDefault="00AA3EA7" w:rsidP="00AA3EA7">
            <w:pPr>
              <w:jc w:val="center"/>
              <w:rPr>
                <w:b/>
                <w:bCs/>
                <w:lang w:val="bg-BG" w:eastAsia="bg-BG"/>
              </w:rPr>
            </w:pPr>
            <w:r>
              <w:rPr>
                <w:b/>
                <w:bCs/>
                <w:lang w:val="bg-BG" w:eastAsia="bg-BG"/>
              </w:rPr>
              <w:t>1000</w:t>
            </w:r>
          </w:p>
        </w:tc>
        <w:tc>
          <w:tcPr>
            <w:tcW w:w="1631" w:type="dxa"/>
            <w:tcBorders>
              <w:top w:val="nil"/>
              <w:left w:val="nil"/>
              <w:bottom w:val="single" w:sz="4" w:space="0" w:color="auto"/>
              <w:right w:val="single" w:sz="4" w:space="0" w:color="auto"/>
            </w:tcBorders>
            <w:vAlign w:val="center"/>
          </w:tcPr>
          <w:p w:rsidR="00AA3EA7" w:rsidRPr="00291760" w:rsidRDefault="00AA3EA7" w:rsidP="00AA3EA7">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AA3EA7" w:rsidRPr="00291760" w:rsidRDefault="00AA3EA7" w:rsidP="00AA3EA7">
            <w:pPr>
              <w:rPr>
                <w:rFonts w:ascii="Calibri" w:eastAsia="Calibri" w:hAnsi="Calibri"/>
                <w:lang w:val="bg-BG" w:eastAsia="bg-BG"/>
              </w:rPr>
            </w:pPr>
          </w:p>
        </w:tc>
      </w:tr>
      <w:tr w:rsidR="00AA3EA7" w:rsidRPr="00291760" w:rsidTr="006A7A89">
        <w:trPr>
          <w:trHeight w:val="666"/>
        </w:trPr>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AA3EA7" w:rsidRPr="00291760" w:rsidRDefault="00AA3EA7" w:rsidP="00AA3EA7">
            <w:pPr>
              <w:jc w:val="center"/>
              <w:rPr>
                <w:b/>
                <w:bCs/>
                <w:color w:val="000000"/>
                <w:lang w:val="bg-BG" w:eastAsia="bg-BG"/>
              </w:rPr>
            </w:pPr>
            <w:r>
              <w:rPr>
                <w:b/>
                <w:bCs/>
                <w:color w:val="000000"/>
                <w:lang w:val="bg-BG" w:eastAsia="bg-BG"/>
              </w:rPr>
              <w:t>Обща стойност без ДДС:…………</w:t>
            </w:r>
            <w:r w:rsidRPr="00AA3EA7">
              <w:rPr>
                <w:b/>
                <w:bCs/>
                <w:i/>
                <w:color w:val="000000"/>
                <w:lang w:val="bg-BG" w:eastAsia="bg-BG"/>
              </w:rPr>
              <w:t>(словом)</w:t>
            </w:r>
          </w:p>
        </w:tc>
        <w:tc>
          <w:tcPr>
            <w:tcW w:w="2409" w:type="dxa"/>
            <w:tcBorders>
              <w:top w:val="nil"/>
              <w:left w:val="single" w:sz="4" w:space="0" w:color="auto"/>
              <w:bottom w:val="single" w:sz="4" w:space="0" w:color="auto"/>
              <w:right w:val="single" w:sz="4" w:space="0" w:color="auto"/>
            </w:tcBorders>
            <w:noWrap/>
            <w:vAlign w:val="bottom"/>
            <w:hideMark/>
          </w:tcPr>
          <w:p w:rsidR="00AA3EA7" w:rsidRPr="00291760" w:rsidRDefault="00AA3EA7" w:rsidP="00AA3EA7">
            <w:pPr>
              <w:rPr>
                <w:rFonts w:ascii="Calibri" w:eastAsia="Calibri" w:hAnsi="Calibri"/>
                <w:lang w:val="bg-BG" w:eastAsia="bg-BG"/>
              </w:rPr>
            </w:pPr>
          </w:p>
        </w:tc>
      </w:tr>
    </w:tbl>
    <w:p w:rsidR="00712D5B" w:rsidRDefault="00712D5B" w:rsidP="00712D5B">
      <w:pPr>
        <w:pStyle w:val="ListParagraph"/>
        <w:tabs>
          <w:tab w:val="left" w:pos="284"/>
        </w:tabs>
        <w:ind w:left="0" w:right="736"/>
        <w:jc w:val="both"/>
        <w:rPr>
          <w:b/>
          <w:sz w:val="24"/>
          <w:szCs w:val="24"/>
          <w:u w:val="none"/>
          <w:lang w:val="bg-BG"/>
        </w:rPr>
      </w:pPr>
    </w:p>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0343B2" w:rsidRPr="00E24B51" w:rsidRDefault="000343B2" w:rsidP="008A32E9">
      <w:pPr>
        <w:tabs>
          <w:tab w:val="left" w:pos="567"/>
        </w:tabs>
        <w:ind w:right="538"/>
        <w:jc w:val="both"/>
        <w:rPr>
          <w:sz w:val="22"/>
          <w:szCs w:val="22"/>
          <w:lang w:val="ru-RU"/>
        </w:rPr>
      </w:pPr>
    </w:p>
    <w:p w:rsidR="00DD5E03" w:rsidRDefault="000343B2" w:rsidP="00712D5B">
      <w:pPr>
        <w:tabs>
          <w:tab w:val="left" w:pos="567"/>
        </w:tabs>
        <w:ind w:right="538"/>
        <w:jc w:val="both"/>
        <w:rPr>
          <w:sz w:val="22"/>
          <w:szCs w:val="22"/>
          <w:lang w:val="ru-RU"/>
        </w:rPr>
      </w:pPr>
      <w:r>
        <w:rPr>
          <w:sz w:val="22"/>
          <w:szCs w:val="22"/>
          <w:lang w:val="ru-RU"/>
        </w:rPr>
        <w:t xml:space="preserve">      </w:t>
      </w:r>
    </w:p>
    <w:p w:rsidR="00DD5E03" w:rsidRDefault="00DD5E03" w:rsidP="00712D5B">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bg-BG"/>
        </w:rPr>
      </w:pPr>
      <w:r>
        <w:rPr>
          <w:sz w:val="22"/>
          <w:szCs w:val="22"/>
          <w:lang w:val="ru-RU"/>
        </w:rPr>
        <w:t>.</w:t>
      </w:r>
      <w:r w:rsidRPr="000343B2">
        <w:rPr>
          <w:sz w:val="22"/>
          <w:szCs w:val="22"/>
          <w:lang w:val="bg-BG"/>
        </w:rPr>
        <w:t xml:space="preserve"> </w:t>
      </w:r>
    </w:p>
    <w:p w:rsidR="00DC0B81" w:rsidRDefault="00712D5B" w:rsidP="00712D5B">
      <w:pPr>
        <w:tabs>
          <w:tab w:val="left" w:pos="567"/>
        </w:tabs>
        <w:ind w:right="538"/>
        <w:jc w:val="both"/>
        <w:rPr>
          <w:sz w:val="22"/>
          <w:szCs w:val="22"/>
          <w:lang w:val="bg-BG"/>
        </w:rPr>
      </w:pPr>
      <w:r>
        <w:rPr>
          <w:sz w:val="22"/>
          <w:szCs w:val="22"/>
          <w:lang w:val="bg-BG"/>
        </w:rPr>
        <w:t xml:space="preserve">     </w:t>
      </w:r>
    </w:p>
    <w:p w:rsidR="00DC0B81" w:rsidRDefault="00DC0B81" w:rsidP="00712D5B">
      <w:pPr>
        <w:tabs>
          <w:tab w:val="left" w:pos="567"/>
        </w:tabs>
        <w:ind w:right="538"/>
        <w:jc w:val="both"/>
        <w:rPr>
          <w:sz w:val="22"/>
          <w:szCs w:val="22"/>
          <w:lang w:val="bg-BG"/>
        </w:rPr>
      </w:pPr>
    </w:p>
    <w:p w:rsidR="00DC0B81" w:rsidRDefault="00DC0B81" w:rsidP="00712D5B">
      <w:pPr>
        <w:tabs>
          <w:tab w:val="left" w:pos="567"/>
        </w:tabs>
        <w:ind w:right="538"/>
        <w:jc w:val="both"/>
        <w:rPr>
          <w:sz w:val="22"/>
          <w:szCs w:val="22"/>
          <w:lang w:val="bg-BG"/>
        </w:rPr>
      </w:pPr>
    </w:p>
    <w:p w:rsidR="002648CB" w:rsidRDefault="002648CB" w:rsidP="00DC0B81">
      <w:pPr>
        <w:tabs>
          <w:tab w:val="left" w:pos="567"/>
        </w:tabs>
        <w:ind w:left="284" w:right="538"/>
        <w:jc w:val="both"/>
        <w:rPr>
          <w:sz w:val="22"/>
          <w:szCs w:val="22"/>
          <w:lang w:val="bg-BG"/>
        </w:rPr>
      </w:pPr>
    </w:p>
    <w:p w:rsidR="002648CB" w:rsidRDefault="002648CB" w:rsidP="00DC0B81">
      <w:pPr>
        <w:tabs>
          <w:tab w:val="left" w:pos="567"/>
        </w:tabs>
        <w:ind w:left="284" w:right="538"/>
        <w:jc w:val="both"/>
        <w:rPr>
          <w:sz w:val="22"/>
          <w:szCs w:val="22"/>
          <w:lang w:val="bg-BG"/>
        </w:rPr>
      </w:pPr>
    </w:p>
    <w:p w:rsidR="002648CB" w:rsidRDefault="002648CB" w:rsidP="00DC0B81">
      <w:pPr>
        <w:tabs>
          <w:tab w:val="left" w:pos="567"/>
        </w:tabs>
        <w:ind w:left="284" w:right="538"/>
        <w:jc w:val="both"/>
        <w:rPr>
          <w:sz w:val="22"/>
          <w:szCs w:val="22"/>
          <w:lang w:val="bg-BG"/>
        </w:rPr>
      </w:pPr>
    </w:p>
    <w:p w:rsidR="002648CB" w:rsidRDefault="002648CB" w:rsidP="00DC0B81">
      <w:pPr>
        <w:tabs>
          <w:tab w:val="left" w:pos="567"/>
        </w:tabs>
        <w:ind w:left="284" w:right="538"/>
        <w:jc w:val="both"/>
        <w:rPr>
          <w:sz w:val="22"/>
          <w:szCs w:val="22"/>
          <w:lang w:val="bg-BG"/>
        </w:rPr>
      </w:pPr>
    </w:p>
    <w:p w:rsidR="002648CB" w:rsidRDefault="002648CB" w:rsidP="00DC0B81">
      <w:pPr>
        <w:tabs>
          <w:tab w:val="left" w:pos="567"/>
        </w:tabs>
        <w:ind w:left="284" w:right="538"/>
        <w:jc w:val="both"/>
        <w:rPr>
          <w:sz w:val="22"/>
          <w:szCs w:val="22"/>
          <w:lang w:val="bg-BG"/>
        </w:rPr>
      </w:pPr>
    </w:p>
    <w:p w:rsidR="00712D5B" w:rsidRPr="00DC0B81" w:rsidRDefault="00712D5B" w:rsidP="00DC0B81">
      <w:pPr>
        <w:tabs>
          <w:tab w:val="left" w:pos="567"/>
        </w:tabs>
        <w:ind w:left="284" w:right="538"/>
        <w:jc w:val="both"/>
        <w:rPr>
          <w:sz w:val="22"/>
          <w:szCs w:val="22"/>
          <w:lang w:val="bg-BG"/>
        </w:rPr>
      </w:pPr>
      <w:r>
        <w:rPr>
          <w:sz w:val="22"/>
          <w:szCs w:val="22"/>
          <w:lang w:val="bg-BG"/>
        </w:rPr>
        <w:t>3.</w:t>
      </w:r>
      <w:r w:rsidR="00DC0B81">
        <w:rPr>
          <w:sz w:val="22"/>
          <w:szCs w:val="22"/>
          <w:lang w:val="bg-BG"/>
        </w:rPr>
        <w:t xml:space="preserve"> </w:t>
      </w:r>
      <w:r>
        <w:rPr>
          <w:sz w:val="22"/>
          <w:szCs w:val="22"/>
          <w:lang w:val="bg-BG"/>
        </w:rPr>
        <w:t>Място на изпълнение</w:t>
      </w:r>
      <w:r w:rsidR="00AA3EA7">
        <w:rPr>
          <w:sz w:val="22"/>
          <w:szCs w:val="22"/>
          <w:lang w:val="bg-BG"/>
        </w:rPr>
        <w:t xml:space="preserve">: </w:t>
      </w:r>
      <w:r w:rsidR="00D6218D">
        <w:rPr>
          <w:sz w:val="22"/>
          <w:szCs w:val="22"/>
          <w:lang w:val="bg-BG"/>
        </w:rPr>
        <w:t xml:space="preserve">Мястото </w:t>
      </w:r>
      <w:r w:rsidR="00AA3EA7" w:rsidRPr="00AA3EA7">
        <w:rPr>
          <w:sz w:val="22"/>
          <w:szCs w:val="22"/>
          <w:lang w:val="bg-BG"/>
        </w:rPr>
        <w:t>и метода за събиране на информацията е описан в  Техническите изисквания за „Провеждане на представително изследване на общественото мнение относно качеството на услугата „Превоз на пътници с железопътен транспорт” – Приложения №1 към поканата</w:t>
      </w:r>
      <w:r>
        <w:rPr>
          <w:sz w:val="22"/>
          <w:szCs w:val="22"/>
          <w:lang w:val="bg-BG"/>
        </w:rPr>
        <w:t xml:space="preserve">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w:t>
      </w:r>
      <w:r w:rsidR="00AA3EA7" w:rsidRPr="00AA3EA7">
        <w:rPr>
          <w:color w:val="000000" w:themeColor="text1"/>
          <w:sz w:val="24"/>
          <w:szCs w:val="24"/>
          <w:lang w:val="bg-BG" w:eastAsia="bg-BG"/>
        </w:rPr>
        <w:t xml:space="preserve"> </w:t>
      </w:r>
      <w:r w:rsidR="00AA3EA7" w:rsidRPr="00AA3EA7">
        <w:rPr>
          <w:i/>
          <w:color w:val="000000" w:themeColor="text1"/>
          <w:sz w:val="24"/>
          <w:szCs w:val="24"/>
          <w:lang w:val="bg-BG" w:eastAsia="bg-BG"/>
        </w:rPr>
        <w:t>(</w:t>
      </w:r>
      <w:r w:rsidR="00AA3EA7" w:rsidRPr="00AA3EA7">
        <w:rPr>
          <w:i/>
          <w:sz w:val="22"/>
          <w:szCs w:val="22"/>
          <w:lang w:val="bg-BG"/>
        </w:rPr>
        <w:t>не повече от 30 работни дни)</w:t>
      </w:r>
      <w:r w:rsidR="00AA3EA7" w:rsidRPr="00AA3EA7">
        <w:rPr>
          <w:sz w:val="22"/>
          <w:szCs w:val="22"/>
          <w:lang w:val="bg-BG"/>
        </w:rPr>
        <w:t xml:space="preserve"> </w:t>
      </w:r>
      <w:r>
        <w:rPr>
          <w:sz w:val="22"/>
          <w:szCs w:val="22"/>
          <w:lang w:val="bg-BG"/>
        </w:rPr>
        <w:t>считано от</w:t>
      </w:r>
      <w:r w:rsidR="00AA3EA7" w:rsidRPr="00AA3EA7">
        <w:rPr>
          <w:sz w:val="22"/>
          <w:szCs w:val="22"/>
          <w:lang w:val="bg-BG"/>
        </w:rPr>
        <w:t xml:space="preserve"> датата на</w:t>
      </w:r>
      <w:r w:rsidR="00AA3EA7">
        <w:rPr>
          <w:lang w:val="bg-BG"/>
        </w:rPr>
        <w:t xml:space="preserve"> </w:t>
      </w:r>
      <w:r w:rsidR="00AA3EA7" w:rsidRPr="00AA3EA7">
        <w:rPr>
          <w:sz w:val="22"/>
          <w:szCs w:val="22"/>
          <w:lang w:val="bg-BG"/>
        </w:rPr>
        <w:t>подписване на договора.</w:t>
      </w:r>
      <w:r>
        <w:rPr>
          <w:sz w:val="22"/>
          <w:szCs w:val="22"/>
          <w:lang w:val="bg-BG"/>
        </w:rPr>
        <w:t>.</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r w:rsidR="003E4445">
        <w:rPr>
          <w:sz w:val="22"/>
          <w:szCs w:val="22"/>
          <w:lang w:val="bg-BG"/>
        </w:rPr>
        <w:t xml:space="preserve"> </w:t>
      </w:r>
    </w:p>
    <w:p w:rsidR="00BE71FA" w:rsidRDefault="00AA3EA7" w:rsidP="00AA3EA7">
      <w:pPr>
        <w:ind w:firstLine="284"/>
        <w:rPr>
          <w:sz w:val="22"/>
          <w:szCs w:val="22"/>
          <w:lang w:val="bg-BG"/>
        </w:rPr>
      </w:pPr>
      <w:r>
        <w:rPr>
          <w:sz w:val="22"/>
          <w:szCs w:val="22"/>
          <w:lang w:val="bg-BG"/>
        </w:rPr>
        <w:t>6</w:t>
      </w:r>
      <w:r w:rsidRPr="00AA3EA7">
        <w:rPr>
          <w:sz w:val="22"/>
          <w:szCs w:val="22"/>
          <w:lang w:val="bg-BG"/>
        </w:rPr>
        <w:t>.  Предлаганата единична цена на представително</w:t>
      </w:r>
      <w:r>
        <w:rPr>
          <w:sz w:val="22"/>
          <w:szCs w:val="22"/>
          <w:lang w:val="bg-BG"/>
        </w:rPr>
        <w:t>то</w:t>
      </w:r>
      <w:r w:rsidRPr="00AA3EA7">
        <w:rPr>
          <w:sz w:val="22"/>
          <w:szCs w:val="22"/>
          <w:lang w:val="bg-BG"/>
        </w:rPr>
        <w:t xml:space="preserve"> изследване на общественото мнение,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w:t>
      </w:r>
      <w:bookmarkStart w:id="0" w:name="_GoBack"/>
      <w:bookmarkEnd w:id="0"/>
      <w:r w:rsidRPr="00AA3EA7">
        <w:rPr>
          <w:sz w:val="22"/>
          <w:szCs w:val="22"/>
          <w:lang w:val="bg-BG"/>
        </w:rPr>
        <w:t xml:space="preserve"> без ДДС и не подлежи на увеличение.</w:t>
      </w: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AA3EA7" w:rsidRDefault="003E4445" w:rsidP="00AA3EA7">
      <w:pPr>
        <w:rPr>
          <w:sz w:val="22"/>
          <w:szCs w:val="22"/>
          <w:lang w:val="bg-BG"/>
        </w:rPr>
      </w:pPr>
      <w:r>
        <w:rPr>
          <w:sz w:val="22"/>
          <w:szCs w:val="22"/>
          <w:lang w:val="bg-BG"/>
        </w:rPr>
        <w:t xml:space="preserve">      </w:t>
      </w:r>
      <w:r w:rsidR="00AA3EA7">
        <w:rPr>
          <w:sz w:val="22"/>
          <w:szCs w:val="22"/>
          <w:lang w:val="bg-BG"/>
        </w:rPr>
        <w:t>7</w:t>
      </w:r>
      <w:r>
        <w:rPr>
          <w:sz w:val="22"/>
          <w:szCs w:val="22"/>
          <w:lang w:val="bg-BG"/>
        </w:rPr>
        <w:t>. Условия и начин на плащане</w:t>
      </w:r>
      <w:r w:rsidR="00AA3EA7">
        <w:rPr>
          <w:sz w:val="22"/>
          <w:szCs w:val="22"/>
          <w:lang w:val="bg-BG"/>
        </w:rPr>
        <w:t>:</w:t>
      </w:r>
    </w:p>
    <w:p w:rsidR="00AA3EA7" w:rsidRPr="00AA3EA7" w:rsidRDefault="003E4445" w:rsidP="00AA3EA7">
      <w:pPr>
        <w:rPr>
          <w:sz w:val="22"/>
          <w:szCs w:val="22"/>
        </w:rPr>
      </w:pPr>
      <w:r>
        <w:rPr>
          <w:sz w:val="22"/>
          <w:szCs w:val="22"/>
          <w:lang w:val="bg-BG"/>
        </w:rPr>
        <w:t xml:space="preserve"> </w:t>
      </w:r>
      <w:r w:rsidR="00AA3EA7" w:rsidRPr="00AA3EA7">
        <w:rPr>
          <w:sz w:val="22"/>
          <w:szCs w:val="22"/>
          <w:lang w:val="bg-BG"/>
        </w:rPr>
        <w:t>Плащанията по настоящата услуга ще се осъществяват в лева, по банков път, при следните условия:</w:t>
      </w:r>
      <w:r w:rsidR="00AA3EA7" w:rsidRPr="00AA3EA7">
        <w:rPr>
          <w:sz w:val="22"/>
          <w:szCs w:val="22"/>
        </w:rPr>
        <w:t xml:space="preserve"> </w:t>
      </w:r>
    </w:p>
    <w:p w:rsidR="00AA3EA7" w:rsidRPr="00AA3EA7" w:rsidRDefault="00AA3EA7" w:rsidP="00AA3EA7">
      <w:pPr>
        <w:numPr>
          <w:ilvl w:val="0"/>
          <w:numId w:val="30"/>
        </w:numPr>
        <w:rPr>
          <w:b/>
          <w:sz w:val="22"/>
          <w:szCs w:val="22"/>
          <w:lang w:val="bg-BG"/>
        </w:rPr>
      </w:pPr>
      <w:r w:rsidRPr="00AA3EA7">
        <w:rPr>
          <w:sz w:val="22"/>
          <w:szCs w:val="22"/>
          <w:lang w:val="bg-BG"/>
        </w:rPr>
        <w:t xml:space="preserve">Цялата </w:t>
      </w:r>
      <w:r w:rsidRPr="00AA3EA7">
        <w:rPr>
          <w:sz w:val="22"/>
          <w:szCs w:val="22"/>
          <w:lang w:val="ru-RU"/>
        </w:rPr>
        <w:t xml:space="preserve">стойност на предмета на договора, се заплаща в срок до 10 дни, </w:t>
      </w:r>
      <w:r w:rsidRPr="00AA3EA7">
        <w:rPr>
          <w:sz w:val="22"/>
          <w:szCs w:val="22"/>
          <w:lang w:val="bg-BG"/>
        </w:rPr>
        <w:t xml:space="preserve">след представяне от страна на </w:t>
      </w:r>
      <w:r w:rsidRPr="00AA3EA7">
        <w:rPr>
          <w:b/>
          <w:sz w:val="22"/>
          <w:szCs w:val="22"/>
          <w:lang w:val="bg-BG"/>
        </w:rPr>
        <w:t>Изпълнителя</w:t>
      </w:r>
      <w:r w:rsidRPr="00AA3EA7">
        <w:rPr>
          <w:sz w:val="22"/>
          <w:szCs w:val="22"/>
          <w:lang w:val="bg-BG"/>
        </w:rPr>
        <w:t xml:space="preserve">, резултатите от изследването, фактура и предавателно-приемателен протокол </w:t>
      </w:r>
    </w:p>
    <w:p w:rsidR="00AA3EA7" w:rsidRPr="00AA3EA7" w:rsidRDefault="00AA3EA7" w:rsidP="00AA3EA7">
      <w:pPr>
        <w:numPr>
          <w:ilvl w:val="0"/>
          <w:numId w:val="30"/>
        </w:numPr>
        <w:rPr>
          <w:b/>
          <w:sz w:val="22"/>
          <w:szCs w:val="22"/>
          <w:lang w:val="bg-BG"/>
        </w:rPr>
      </w:pPr>
      <w:r w:rsidRPr="00AA3EA7">
        <w:rPr>
          <w:sz w:val="22"/>
          <w:szCs w:val="22"/>
          <w:lang w:val="bg-BG"/>
        </w:rPr>
        <w:t xml:space="preserve">Необходими документи за извършване на плащането са: </w:t>
      </w:r>
      <w:r w:rsidRPr="00AA3EA7">
        <w:rPr>
          <w:sz w:val="22"/>
          <w:szCs w:val="22"/>
          <w:lang w:val="ru-RU"/>
        </w:rPr>
        <w:t>оригинална фактура издадена на името на</w:t>
      </w:r>
      <w:r w:rsidRPr="00AA3EA7">
        <w:rPr>
          <w:sz w:val="22"/>
          <w:szCs w:val="22"/>
        </w:rPr>
        <w:t xml:space="preserve"> </w:t>
      </w:r>
      <w:r w:rsidRPr="00AA3EA7">
        <w:rPr>
          <w:sz w:val="22"/>
          <w:szCs w:val="22"/>
          <w:lang w:val="bg-BG"/>
        </w:rPr>
        <w:t>„</w:t>
      </w:r>
      <w:r w:rsidRPr="00AA3EA7">
        <w:rPr>
          <w:sz w:val="22"/>
          <w:szCs w:val="22"/>
          <w:lang w:val="ru-RU"/>
        </w:rPr>
        <w:t>БДЖ-Пътнически превози</w:t>
      </w:r>
      <w:r w:rsidRPr="00AA3EA7">
        <w:rPr>
          <w:sz w:val="22"/>
          <w:szCs w:val="22"/>
        </w:rPr>
        <w:t>”</w:t>
      </w:r>
      <w:r w:rsidRPr="00AA3EA7">
        <w:rPr>
          <w:sz w:val="22"/>
          <w:szCs w:val="22"/>
          <w:lang w:val="ru-RU"/>
        </w:rPr>
        <w:t xml:space="preserve"> ЕООД и приемо-предавателен протокол, изпратени до адрес гр. София, ул. </w:t>
      </w:r>
      <w:r w:rsidRPr="00AA3EA7">
        <w:rPr>
          <w:sz w:val="22"/>
          <w:szCs w:val="22"/>
          <w:lang w:val="bg-BG"/>
        </w:rPr>
        <w:t>„Иван Вазов“ №3</w:t>
      </w:r>
    </w:p>
    <w:p w:rsidR="00AA3EA7" w:rsidRPr="00AA3EA7" w:rsidRDefault="00AA3EA7" w:rsidP="00AA3EA7">
      <w:pPr>
        <w:rPr>
          <w:b/>
          <w:sz w:val="22"/>
          <w:szCs w:val="22"/>
          <w:lang w:val="bg-BG"/>
        </w:rPr>
      </w:pPr>
      <w:r w:rsidRPr="00AA3EA7">
        <w:rPr>
          <w:sz w:val="22"/>
          <w:szCs w:val="22"/>
          <w:lang w:val="ru-RU"/>
        </w:rPr>
        <w:t>При непредставяне на посоченият адрес на цитираните документи, срокът за плащане се удължава с толкова дни, с колкото е закъсняло представянето на документите.</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AA3EA7">
        <w:rPr>
          <w:sz w:val="22"/>
          <w:szCs w:val="22"/>
          <w:lang w:val="ru-RU"/>
        </w:rPr>
        <w:t>8</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C1" w:rsidRDefault="00DC6CC1" w:rsidP="00841CAC">
      <w:r>
        <w:separator/>
      </w:r>
    </w:p>
  </w:endnote>
  <w:endnote w:type="continuationSeparator" w:id="0">
    <w:p w:rsidR="00DC6CC1" w:rsidRDefault="00DC6CC1"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C1" w:rsidRDefault="00DC6CC1" w:rsidP="00841CAC">
      <w:r>
        <w:separator/>
      </w:r>
    </w:p>
  </w:footnote>
  <w:footnote w:type="continuationSeparator" w:id="0">
    <w:p w:rsidR="00DC6CC1" w:rsidRDefault="00DC6CC1"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9">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3">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num>
  <w:num w:numId="10">
    <w:abstractNumId w:val="7"/>
  </w:num>
  <w:num w:numId="11">
    <w:abstractNumId w:val="15"/>
  </w:num>
  <w:num w:numId="12">
    <w:abstractNumId w:val="25"/>
  </w:num>
  <w:num w:numId="13">
    <w:abstractNumId w:val="13"/>
  </w:num>
  <w:num w:numId="14">
    <w:abstractNumId w:val="10"/>
  </w:num>
  <w:num w:numId="15">
    <w:abstractNumId w:val="3"/>
  </w:num>
  <w:num w:numId="16">
    <w:abstractNumId w:val="23"/>
  </w:num>
  <w:num w:numId="17">
    <w:abstractNumId w:val="27"/>
  </w:num>
  <w:num w:numId="18">
    <w:abstractNumId w:val="9"/>
  </w:num>
  <w:num w:numId="19">
    <w:abstractNumId w:val="19"/>
  </w:num>
  <w:num w:numId="20">
    <w:abstractNumId w:val="16"/>
  </w:num>
  <w:num w:numId="21">
    <w:abstractNumId w:val="28"/>
  </w:num>
  <w:num w:numId="22">
    <w:abstractNumId w:val="26"/>
  </w:num>
  <w:num w:numId="23">
    <w:abstractNumId w:val="29"/>
  </w:num>
  <w:num w:numId="24">
    <w:abstractNumId w:val="11"/>
  </w:num>
  <w:num w:numId="25">
    <w:abstractNumId w:val="14"/>
  </w:num>
  <w:num w:numId="26">
    <w:abstractNumId w:val="20"/>
  </w:num>
  <w:num w:numId="27">
    <w:abstractNumId w:val="22"/>
  </w:num>
  <w:num w:numId="28">
    <w:abstractNumId w:val="5"/>
  </w:num>
  <w:num w:numId="29">
    <w:abstractNumId w:val="8"/>
  </w:num>
  <w:num w:numId="3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3EA9"/>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48CB"/>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39D"/>
    <w:rsid w:val="002D5BD7"/>
    <w:rsid w:val="002E23F3"/>
    <w:rsid w:val="002E4B78"/>
    <w:rsid w:val="002F2971"/>
    <w:rsid w:val="002F471F"/>
    <w:rsid w:val="002F6671"/>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81E5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3EA7"/>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39F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218D"/>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B81"/>
    <w:rsid w:val="00DC0E8E"/>
    <w:rsid w:val="00DC6CC1"/>
    <w:rsid w:val="00DC780E"/>
    <w:rsid w:val="00DD1F63"/>
    <w:rsid w:val="00DD46AC"/>
    <w:rsid w:val="00DD5E03"/>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A4ACA-301B-4068-8E27-93A33461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52</cp:revision>
  <cp:lastPrinted>2019-10-04T10:43:00Z</cp:lastPrinted>
  <dcterms:created xsi:type="dcterms:W3CDTF">2019-08-05T09:00:00Z</dcterms:created>
  <dcterms:modified xsi:type="dcterms:W3CDTF">2019-10-09T14:17:00Z</dcterms:modified>
</cp:coreProperties>
</file>