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на електрическа инсталация в сграда Екс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лоатация І и ІІ етаж в ППП София, Локомотивно депо София, район София, ул. Заводска № 1“, собственост на "БДЖ - ПП" ЕООД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587BCF" w:rsidRDefault="00587BCF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на електрическа инсталация в сграда Експл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983189" w:rsidRPr="0098318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атация І и ІІ етаж в ППП София, Локомотивно депо София, район София, ул. Заводска № 1“, собственост на "БДЖ - ПП" ЕООД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ние №</w:t>
      </w:r>
      <w:r w:rsidR="00BA35E9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587BCF" w:rsidRPr="003B5EC6" w:rsidRDefault="00587BCF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8835" w:type="dxa"/>
        <w:tblInd w:w="93" w:type="dxa"/>
        <w:tblLook w:val="04A0" w:firstRow="1" w:lastRow="0" w:firstColumn="1" w:lastColumn="0" w:noHBand="0" w:noVBand="1"/>
      </w:tblPr>
      <w:tblGrid>
        <w:gridCol w:w="565"/>
        <w:gridCol w:w="3589"/>
        <w:gridCol w:w="740"/>
        <w:gridCol w:w="1052"/>
        <w:gridCol w:w="1701"/>
        <w:gridCol w:w="1188"/>
      </w:tblGrid>
      <w:tr w:rsidR="00844303" w:rsidRPr="00844303" w:rsidTr="00844303">
        <w:trPr>
          <w:trHeight w:val="85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№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ред</w:t>
            </w:r>
            <w:proofErr w:type="spellEnd"/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Мяр-ка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Количе-ство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цена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ДДС /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лева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Обща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с-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ДДС /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лева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/</w:t>
            </w:r>
          </w:p>
        </w:tc>
      </w:tr>
      <w:tr w:rsidR="00844303" w:rsidRPr="00844303" w:rsidTr="00844303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 I </w:t>
            </w:r>
            <w:proofErr w:type="spellStart"/>
            <w:r w:rsidRPr="00983189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етаж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i/>
                <w:i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i/>
                <w:iCs/>
                <w:lang w:val="en-GB" w:eastAsia="en-GB"/>
              </w:rPr>
              <w:t> </w:t>
            </w: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СВТ 3х35+16 мм²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СВТ 4х16 мм²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lastRenderedPageBreak/>
              <w:t>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СВТ 4х4 мм²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9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ПВ-А1 1х2,5 мм</w:t>
            </w:r>
            <w:r w:rsidRPr="00983189">
              <w:rPr>
                <w:rFonts w:ascii="Times New Roman" w:eastAsia="Times New Roman" w:hAnsi="Times New Roman"/>
                <w:vertAlign w:val="superscript"/>
                <w:lang w:val="en-GB" w:eastAsia="en-GB"/>
              </w:rPr>
              <w:t>2</w:t>
            </w: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жълтозелен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)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Електромер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индиректен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трифазен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тройнотарифен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Токов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трансформатор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ТТ 250/5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Токов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трансформатор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ТТ 150/5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прекъсвач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3P 150А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DIN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Гребен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триполюсен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98318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Гребен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монофазен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98318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Нулева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2х12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открит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открит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63 А 3Р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25 А 3Р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25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А 1Р с ДТЗ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трифазен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Мостов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ПВВ-МБ1 3х2,5 мм</w:t>
            </w:r>
            <w:r w:rsidRPr="00983189">
              <w:rPr>
                <w:rFonts w:ascii="Times New Roman" w:eastAsia="Times New Roman" w:hAnsi="Times New Roman"/>
                <w:vertAlign w:val="superscript"/>
                <w:lang w:val="en-GB" w:eastAsia="en-GB"/>
              </w:rPr>
              <w:t>2</w:t>
            </w: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Мостов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ПВВ-МБ1 2х1,5 мм</w:t>
            </w:r>
            <w:r w:rsidRPr="00983189">
              <w:rPr>
                <w:rFonts w:ascii="Times New Roman" w:eastAsia="Times New Roman" w:hAnsi="Times New Roman"/>
                <w:vertAlign w:val="superscript"/>
                <w:lang w:val="en-GB" w:eastAsia="en-GB"/>
              </w:rPr>
              <w:t>2</w:t>
            </w: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СВТ 4х2,5 мм²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LED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прожектор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50 W, 220 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Мостов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ПВВ-МБ1 2х1,5 мм</w:t>
            </w:r>
            <w:r w:rsidRPr="00983189">
              <w:rPr>
                <w:rFonts w:ascii="Times New Roman" w:eastAsia="Times New Roman" w:hAnsi="Times New Roman"/>
                <w:vertAlign w:val="superscript"/>
                <w:lang w:val="en-GB" w:eastAsia="en-GB"/>
              </w:rPr>
              <w:t>2</w:t>
            </w: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открит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Разклонителна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кутия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РК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Опорно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въже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средни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80х80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lastRenderedPageBreak/>
              <w:t>31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40х40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35 мм²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към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съоръжения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обувка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(СВТ 3х35+16 мм²)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 м2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стоящо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98318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прекъсвач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3P 150А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4х16мм²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3х2,5 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мм²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към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съоръжения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обувка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(СВТ 3х10+6 мм²)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мм²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към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съоръжения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ухо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(СВТ 3х10+6 мм²)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2х12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63 А 3Р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25 А 3Р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25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А 1Р с ДТЗ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 А 1Р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трифазен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прожектор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Опъване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опорно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въже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опорно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въже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разклонителна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кутия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РК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в РК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lastRenderedPageBreak/>
              <w:t>56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Прозвъняване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преработка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връзки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индиректен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трифазен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електромер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токови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трансформатори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 xml:space="preserve">II </w:t>
            </w:r>
            <w:proofErr w:type="spellStart"/>
            <w:r w:rsidRPr="00983189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етаж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2х12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прозрачна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врата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прекъсвач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3P 100А -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DIN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98318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80х80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1х16 А с ДТЗ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1х6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 3х1,5мм²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монтирани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ПВВ-МБ1 3х1,5мм²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 2х1,5мм²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монтирани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ПВВ-МБ1 2х1,5мм²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12х12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LED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Т8 400 4500К 600х600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открит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2 LED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9 W (0,036kW)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девиаторен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открит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 3х4мм²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монтирани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ПВВ-МБ1 3х4мм²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1х32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12х25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72</w:t>
            </w:r>
          </w:p>
        </w:tc>
        <w:tc>
          <w:tcPr>
            <w:tcW w:w="3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 3х2,5мм²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монтирани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ПВВ-МБ1 3х2,5мм² 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51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1х25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единичен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скрит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двоен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проводник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ПВ 2х1,5мм² 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монтирани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- ПВВ-МБ1 2х1,5мм² 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lastRenderedPageBreak/>
              <w:t>77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2х12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стена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мм²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към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съоръжения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обувка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(СВТ 3х16+10 мм²)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79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4х16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обикновени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скоби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тухлени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(СВТ 3х16+10 мм²)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79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прекъсвач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3P 100А -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DIN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983189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пластмасов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ширина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80мм - 80х80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94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16 А с ДТЗ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6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луминисцентно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стена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или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таван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ключове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обикновена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само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86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ключове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обикновена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87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апартаментно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8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модула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без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88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32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89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25 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90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кабелен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канал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20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мм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 12х25мм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91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ключове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контакти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обикновена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само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92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Прозвъняване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преработка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връзки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93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контакти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94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инверторен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климатик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вътрешно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) BTU 12000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63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95</w:t>
            </w:r>
          </w:p>
        </w:tc>
        <w:tc>
          <w:tcPr>
            <w:tcW w:w="3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инверторен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климатик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(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вътрешно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външно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) BTU 9000 с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983189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983189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983189">
              <w:rPr>
                <w:rFonts w:ascii="Times New Roman" w:eastAsia="Times New Roman" w:hAnsi="Times New Roman"/>
                <w:lang w:val="en-GB" w:eastAsia="en-GB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303" w:rsidRPr="00983189" w:rsidRDefault="00844303" w:rsidP="00983189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844303" w:rsidRPr="00844303" w:rsidTr="00844303">
        <w:trPr>
          <w:trHeight w:val="31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Всичко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03" w:rsidRPr="00844303" w:rsidRDefault="00844303" w:rsidP="00844303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844303" w:rsidRPr="00844303" w:rsidTr="00844303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Непредвидини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разходи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……</w:t>
            </w:r>
            <w:proofErr w:type="gram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.</w:t>
            </w:r>
            <w:r w:rsidRPr="0084430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(</w:t>
            </w:r>
            <w:proofErr w:type="gramEnd"/>
            <w:r w:rsidRPr="0084430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 xml:space="preserve">не повече от </w:t>
            </w:r>
            <w:r w:rsidRPr="0084430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GB" w:eastAsia="en-GB"/>
              </w:rPr>
              <w:t>10%</w:t>
            </w:r>
            <w:r w:rsidRPr="0084430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en-GB"/>
              </w:rPr>
              <w:t>)</w:t>
            </w:r>
            <w:r w:rsidRPr="00844303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03" w:rsidRPr="00844303" w:rsidRDefault="00844303" w:rsidP="00844303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844303" w:rsidRPr="00844303" w:rsidTr="00844303">
        <w:trPr>
          <w:trHeight w:val="33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844303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303" w:rsidRPr="00844303" w:rsidRDefault="00844303" w:rsidP="00844303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Крайна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стойност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8443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ДДС: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303" w:rsidRPr="00844303" w:rsidRDefault="00844303" w:rsidP="00844303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  <w:bookmarkStart w:id="0" w:name="_GoBack"/>
      <w:bookmarkEnd w:id="0"/>
    </w:p>
    <w:p w:rsid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lastRenderedPageBreak/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Pr="001E08EF" w:rsidRDefault="00587BCF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Default="00851000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D64EEF" w:rsidRPr="00D64EEF" w:rsidRDefault="00D64EEF" w:rsidP="00D64EEF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D64EEF">
        <w:rPr>
          <w:rFonts w:ascii="Times New Roman" w:hAnsi="Times New Roman"/>
          <w:bCs/>
          <w:i/>
          <w:sz w:val="24"/>
          <w:szCs w:val="24"/>
        </w:rPr>
        <w:t>7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инж. </w:t>
      </w:r>
      <w:r w:rsidR="00983189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Христо Иванов</w:t>
      </w:r>
      <w:r w:rsidR="00D64EE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lastRenderedPageBreak/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D64EEF">
        <w:rPr>
          <w:rFonts w:ascii="Times New Roman" w:eastAsia="Times New Roman" w:hAnsi="Times New Roman"/>
          <w:sz w:val="24"/>
          <w:szCs w:val="24"/>
        </w:rPr>
        <w:t>инж.</w:t>
      </w:r>
      <w:proofErr w:type="gramEnd"/>
      <w:r w:rsidR="00D64EEF">
        <w:rPr>
          <w:rFonts w:ascii="Times New Roman" w:eastAsia="Times New Roman" w:hAnsi="Times New Roman"/>
          <w:sz w:val="24"/>
          <w:szCs w:val="24"/>
        </w:rPr>
        <w:t xml:space="preserve"> </w:t>
      </w:r>
      <w:r w:rsidR="00983189">
        <w:rPr>
          <w:rFonts w:ascii="Times New Roman" w:eastAsia="Times New Roman" w:hAnsi="Times New Roman"/>
          <w:sz w:val="24"/>
          <w:szCs w:val="24"/>
        </w:rPr>
        <w:t>Христо Иванов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D64EEF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1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</w:t>
      </w:r>
      <w:proofErr w:type="spellStart"/>
      <w:r>
        <w:rPr>
          <w:rFonts w:ascii="Times New Roman" w:hAnsi="Times New Roman"/>
          <w:sz w:val="24"/>
          <w:szCs w:val="24"/>
        </w:rPr>
        <w:t>законоустановения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ED1387">
        <w:rPr>
          <w:rFonts w:ascii="Times New Roman" w:hAnsi="Times New Roman"/>
          <w:b/>
          <w:sz w:val="20"/>
          <w:szCs w:val="20"/>
        </w:rPr>
        <w:t>пета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123E26" w:rsidRPr="00983189" w:rsidRDefault="00ED1387" w:rsidP="00983189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D64EEF">
        <w:rPr>
          <w:rFonts w:ascii="Times New Roman" w:hAnsi="Times New Roman"/>
          <w:b/>
          <w:sz w:val="20"/>
          <w:szCs w:val="20"/>
        </w:rPr>
        <w:t>;</w:t>
      </w:r>
    </w:p>
    <w:p w:rsidR="005455D8" w:rsidRPr="00C41211" w:rsidRDefault="00123E26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123E26">
        <w:rPr>
          <w:rFonts w:ascii="Times New Roman" w:hAnsi="Times New Roman"/>
          <w:sz w:val="20"/>
          <w:szCs w:val="20"/>
        </w:rPr>
        <w:t>Документ да извършен оглед.</w:t>
      </w: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sectPr w:rsidR="00795EC7" w:rsidRPr="00795EC7" w:rsidSect="00CA624A">
      <w:footerReference w:type="default" r:id="rId9"/>
      <w:pgSz w:w="11906" w:h="16838"/>
      <w:pgMar w:top="709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5E9" w:rsidRDefault="00BA35E9">
      <w:pPr>
        <w:spacing w:after="0" w:line="240" w:lineRule="auto"/>
      </w:pPr>
      <w:r>
        <w:separator/>
      </w:r>
    </w:p>
  </w:endnote>
  <w:endnote w:type="continuationSeparator" w:id="0">
    <w:p w:rsidR="00BA35E9" w:rsidRDefault="00BA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5E9" w:rsidRDefault="00BA35E9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C4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76C41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5E9" w:rsidRDefault="00BA35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5E9" w:rsidRDefault="00BA35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A35E9" w:rsidRDefault="00BA3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63C8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168D"/>
    <w:rsid w:val="00105C59"/>
    <w:rsid w:val="00121E27"/>
    <w:rsid w:val="00123E26"/>
    <w:rsid w:val="00176C41"/>
    <w:rsid w:val="00194D55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7485"/>
    <w:rsid w:val="00320D6F"/>
    <w:rsid w:val="00350CD2"/>
    <w:rsid w:val="0036470B"/>
    <w:rsid w:val="00371D23"/>
    <w:rsid w:val="003820CC"/>
    <w:rsid w:val="003B5D3C"/>
    <w:rsid w:val="003B5EC6"/>
    <w:rsid w:val="003C49D8"/>
    <w:rsid w:val="004179B0"/>
    <w:rsid w:val="00463CAA"/>
    <w:rsid w:val="00483DF1"/>
    <w:rsid w:val="004A6B21"/>
    <w:rsid w:val="004B0F26"/>
    <w:rsid w:val="004C42EF"/>
    <w:rsid w:val="004C798D"/>
    <w:rsid w:val="004E1F76"/>
    <w:rsid w:val="004F0182"/>
    <w:rsid w:val="00503CA0"/>
    <w:rsid w:val="00511F04"/>
    <w:rsid w:val="00513F80"/>
    <w:rsid w:val="005155ED"/>
    <w:rsid w:val="00530220"/>
    <w:rsid w:val="00537758"/>
    <w:rsid w:val="00544A14"/>
    <w:rsid w:val="005455D8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656B"/>
    <w:rsid w:val="00793751"/>
    <w:rsid w:val="00795EC7"/>
    <w:rsid w:val="007C0F0D"/>
    <w:rsid w:val="007C3FAC"/>
    <w:rsid w:val="007D3F93"/>
    <w:rsid w:val="007E1DF0"/>
    <w:rsid w:val="0081185F"/>
    <w:rsid w:val="008434E1"/>
    <w:rsid w:val="00844303"/>
    <w:rsid w:val="00851000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3189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55E7A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A35E9"/>
    <w:rsid w:val="00BB0B05"/>
    <w:rsid w:val="00BD1443"/>
    <w:rsid w:val="00BF27ED"/>
    <w:rsid w:val="00C1029B"/>
    <w:rsid w:val="00C13856"/>
    <w:rsid w:val="00C17DF2"/>
    <w:rsid w:val="00C41211"/>
    <w:rsid w:val="00C42EAF"/>
    <w:rsid w:val="00C608F8"/>
    <w:rsid w:val="00C64BB6"/>
    <w:rsid w:val="00CA3C4A"/>
    <w:rsid w:val="00CA5A38"/>
    <w:rsid w:val="00CA624A"/>
    <w:rsid w:val="00CC781E"/>
    <w:rsid w:val="00D01465"/>
    <w:rsid w:val="00D263ED"/>
    <w:rsid w:val="00D347D1"/>
    <w:rsid w:val="00D459CF"/>
    <w:rsid w:val="00D47249"/>
    <w:rsid w:val="00D64EEF"/>
    <w:rsid w:val="00D965C8"/>
    <w:rsid w:val="00DA2797"/>
    <w:rsid w:val="00DD566C"/>
    <w:rsid w:val="00DF48F4"/>
    <w:rsid w:val="00E0345A"/>
    <w:rsid w:val="00E56344"/>
    <w:rsid w:val="00E64CC0"/>
    <w:rsid w:val="00E73B24"/>
    <w:rsid w:val="00E77F33"/>
    <w:rsid w:val="00EB6FF8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1867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983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189"/>
    <w:rPr>
      <w:color w:val="800080"/>
      <w:u w:val="single"/>
    </w:rPr>
  </w:style>
  <w:style w:type="paragraph" w:customStyle="1" w:styleId="font5">
    <w:name w:val="font5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6">
    <w:name w:val="font6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983189"/>
    <w:pP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customStyle="1" w:styleId="xl79">
    <w:name w:val="xl7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  <w:style w:type="character" w:styleId="Hyperlink">
    <w:name w:val="Hyperlink"/>
    <w:basedOn w:val="DefaultParagraphFont"/>
    <w:uiPriority w:val="99"/>
    <w:semiHidden/>
    <w:unhideWhenUsed/>
    <w:rsid w:val="0098318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3189"/>
    <w:rPr>
      <w:color w:val="800080"/>
      <w:u w:val="single"/>
    </w:rPr>
  </w:style>
  <w:style w:type="paragraph" w:customStyle="1" w:styleId="font5">
    <w:name w:val="font5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font6">
    <w:name w:val="font6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983189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6">
    <w:name w:val="xl6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7">
    <w:name w:val="xl6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8">
    <w:name w:val="xl6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69">
    <w:name w:val="xl6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0">
    <w:name w:val="xl7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1">
    <w:name w:val="xl71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2">
    <w:name w:val="xl72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3">
    <w:name w:val="xl73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4">
    <w:name w:val="xl74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5">
    <w:name w:val="xl75"/>
    <w:basedOn w:val="Normal"/>
    <w:rsid w:val="00983189"/>
    <w:pP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6">
    <w:name w:val="xl7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7">
    <w:name w:val="xl7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78">
    <w:name w:val="xl7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i/>
      <w:iCs/>
      <w:sz w:val="24"/>
      <w:szCs w:val="24"/>
      <w:lang w:val="en-GB" w:eastAsia="en-GB"/>
    </w:rPr>
  </w:style>
  <w:style w:type="paragraph" w:customStyle="1" w:styleId="xl79">
    <w:name w:val="xl7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0">
    <w:name w:val="xl8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1">
    <w:name w:val="xl81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2">
    <w:name w:val="xl82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autoSpaceDN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3">
    <w:name w:val="xl83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4">
    <w:name w:val="xl84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5">
    <w:name w:val="xl85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6">
    <w:name w:val="xl86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87">
    <w:name w:val="xl87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8">
    <w:name w:val="xl88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right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89">
    <w:name w:val="xl89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90">
    <w:name w:val="xl90"/>
    <w:basedOn w:val="Normal"/>
    <w:rsid w:val="009831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 w:line="240" w:lineRule="auto"/>
      <w:jc w:val="center"/>
      <w:textAlignment w:val="auto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6612B-0368-4A7F-B9A7-4FDBD9578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7</Pages>
  <Words>2038</Words>
  <Characters>11622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30</cp:revision>
  <cp:lastPrinted>2022-09-20T10:29:00Z</cp:lastPrinted>
  <dcterms:created xsi:type="dcterms:W3CDTF">2021-11-05T11:36:00Z</dcterms:created>
  <dcterms:modified xsi:type="dcterms:W3CDTF">2022-09-20T10:30:00Z</dcterms:modified>
</cp:coreProperties>
</file>