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Pr="0005472C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3B5EC6" w:rsidRDefault="00503CA0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„Възстановяване на счупени стъкла с </w:t>
      </w:r>
      <w:proofErr w:type="spellStart"/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поликарб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натни</w:t>
      </w:r>
      <w:proofErr w:type="spellEnd"/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194D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плоскости на хале Филиално депо-Левски към Локомотивно депо-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Горна Оряховица, р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монт технически кабинет и санитарни помещения”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Pr="003B5EC6" w:rsidRDefault="00A328EC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„Възстановяване на счупени стъкла с </w:t>
      </w:r>
      <w:proofErr w:type="spellStart"/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поликарбонатни</w:t>
      </w:r>
      <w:proofErr w:type="spellEnd"/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F6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плоскости на хале Филиално депо-Левски към Локомотивно депо-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Горна Оряховица, ремонт технически кабинет и санитарни помещения”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ние №3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СМР/СРР: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СМР/СРР............................. лв. без ДДС, представл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я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не повече от 10%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СМР/СРР.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p w:rsidR="00D263ED" w:rsidRPr="00851000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6232"/>
        <w:gridCol w:w="615"/>
        <w:gridCol w:w="971"/>
        <w:gridCol w:w="1257"/>
        <w:gridCol w:w="1115"/>
      </w:tblGrid>
      <w:tr w:rsidR="00D263ED" w:rsidRPr="00851000" w:rsidTr="00513F80">
        <w:trPr>
          <w:trHeight w:val="6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D" w:rsidRPr="00851000" w:rsidRDefault="00D263ED" w:rsidP="0004466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№ по ред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ED" w:rsidRPr="00851000" w:rsidRDefault="00D263ED" w:rsidP="0004466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ED" w:rsidRPr="00851000" w:rsidRDefault="00D263ED" w:rsidP="0004466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Мяр-ка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ED" w:rsidRPr="00851000" w:rsidRDefault="00D263ED" w:rsidP="0004466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Количе-ство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ED" w:rsidRPr="00851000" w:rsidRDefault="00D263ED" w:rsidP="0004466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ED" w:rsidRPr="00851000" w:rsidRDefault="00D263ED" w:rsidP="0004466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Обща </w:t>
            </w:r>
            <w:proofErr w:type="spellStart"/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ст-ст</w:t>
            </w:r>
            <w:proofErr w:type="spellEnd"/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513F80" w:rsidRPr="00851000" w:rsidTr="00513F8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0" w:rsidRPr="00851000" w:rsidRDefault="00513F80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F80" w:rsidRPr="00851000" w:rsidRDefault="00513F80" w:rsidP="00513F80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/>
                <w:bCs/>
                <w:sz w:val="20"/>
                <w:szCs w:val="20"/>
              </w:rPr>
              <w:t>Възстановяване на остъклението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F80" w:rsidRPr="00851000" w:rsidRDefault="00513F80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F80" w:rsidRPr="00851000" w:rsidRDefault="00513F80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F80" w:rsidRPr="00851000" w:rsidRDefault="00513F80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F80" w:rsidRPr="00851000" w:rsidRDefault="00513F80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Демонтаж на стъкла от метални рамки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Възстановяване на счупени стъкла с4 мм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поликарбонатни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плоскости /вкл.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скрепителни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елементи/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Направа тръбно фасадно скеле до 30м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технически кабинет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Остъргване на блажна боя по стени и тавани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149,70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Грундиране на стени и тавани с контактен грунд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149,70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Шпакловка на стените и тавани с готова смес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149,70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Боядисване стени и тавани с латекс двукратно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149,70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Настилка от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гранитогрес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на лепило при ремонти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851000">
        <w:trPr>
          <w:trHeight w:val="34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Облицовка с керамични плочки /н-к склад/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851000">
        <w:trPr>
          <w:trHeight w:val="34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мивка среден формат  /н-к склад/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851000">
        <w:trPr>
          <w:trHeight w:val="34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Доставка и монтаж на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смесителна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батерия /н-к склад/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9A4F7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РVС прозор</w:t>
            </w:r>
            <w:r w:rsidR="009A4F74">
              <w:rPr>
                <w:rFonts w:ascii="Times New Roman" w:hAnsi="Times New Roman"/>
                <w:bCs/>
                <w:sz w:val="20"/>
                <w:szCs w:val="20"/>
              </w:rPr>
              <w:t xml:space="preserve">ци </w:t>
            </w: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-обикновен тип - 3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11,45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алуминиеви врати -</w:t>
            </w:r>
            <w:r w:rsidR="009A4F74" w:rsidRPr="00851000">
              <w:rPr>
                <w:rFonts w:ascii="Times New Roman" w:hAnsi="Times New Roman"/>
                <w:bCs/>
                <w:sz w:val="20"/>
                <w:szCs w:val="20"/>
              </w:rPr>
              <w:t>обикновени</w:t>
            </w: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-1бр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Топлоизолация по страници на врати и прозорци с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полистирен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Ремонт ел. инсталация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осветителни тела ЛОТ 4 х14 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баня и съблекалня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513F80" w:rsidP="00D263ED">
            <w:pPr>
              <w:pStyle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БАНЯ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Доставка и монтаж на РVС </w:t>
            </w:r>
            <w:r w:rsidR="009A4F74">
              <w:rPr>
                <w:rFonts w:ascii="Times New Roman" w:hAnsi="Times New Roman"/>
                <w:bCs/>
                <w:sz w:val="20"/>
                <w:szCs w:val="20"/>
              </w:rPr>
              <w:t xml:space="preserve">прозорци </w:t>
            </w: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-обикновен тип - 1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алуминиеви врати -</w:t>
            </w:r>
            <w:r w:rsidR="009A4F74" w:rsidRPr="00851000">
              <w:rPr>
                <w:rFonts w:ascii="Times New Roman" w:hAnsi="Times New Roman"/>
                <w:bCs/>
                <w:sz w:val="20"/>
                <w:szCs w:val="20"/>
              </w:rPr>
              <w:t>обикновени</w:t>
            </w: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-1бр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Топлоизолация по страници на врати и прозорци с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полистирен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11,20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Разваляне на облицовка от фаянсови плочки на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вароцим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. разтвор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Фаянсова облицовка с лепило по стени на фуга 2 мм, при ремонти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Настилка от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гранитогрес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на лепило при ремонти по пода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5,20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Грундиране на стени и тавани с контактен грунд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16,50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Шпакловка на стените и тавани с готова смес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16,50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Боядисване стени и тавани с латекс двукратно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16,50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Вътрешна водопроводна инсталация от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полипропиленови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тръби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душ батерия - телефон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влагоустойчиви осветителни тела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513F80" w:rsidP="00D263ED">
            <w:pPr>
              <w:pStyle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СЪБЛЕКАЛНЯ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9A4F74" w:rsidP="009A4F7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Доставка и монтаж на РVС прозорци </w:t>
            </w:r>
            <w:r w:rsidR="00D263ED"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-обикновен тип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D263ED"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4 </w:t>
            </w:r>
            <w:proofErr w:type="spellStart"/>
            <w:r w:rsidR="00D263ED"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9A4F74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19,2</w:t>
            </w:r>
            <w:r w:rsidR="00D263ED" w:rsidRPr="008510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9A4F7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Доставка и монтаж на алуминиеви врати -</w:t>
            </w:r>
            <w:r w:rsidR="009A4F74" w:rsidRPr="00851000">
              <w:rPr>
                <w:rFonts w:ascii="Times New Roman" w:hAnsi="Times New Roman"/>
                <w:bCs/>
                <w:sz w:val="20"/>
                <w:szCs w:val="20"/>
              </w:rPr>
              <w:t>обикновени</w:t>
            </w: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9A4F7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2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9A4F74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Топлоизолация по страници на врати и прозорци с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полистирен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9A4F74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D263ED" w:rsidRPr="00851000">
              <w:rPr>
                <w:rFonts w:ascii="Times New Roman" w:hAnsi="Times New Roman"/>
                <w:bCs/>
                <w:sz w:val="20"/>
                <w:szCs w:val="20"/>
              </w:rPr>
              <w:t>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Остъргване на блажна боя по стени и тавани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71,80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Грундиране на стени и тавани с контактен грунд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109,60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Шпакловка на стените и тавани с готова смес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109,60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Боядисване стени и тавани с латекс двукратно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109,60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Настилка от </w:t>
            </w:r>
            <w:proofErr w:type="spellStart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гранитогрес</w:t>
            </w:r>
            <w:proofErr w:type="spellEnd"/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 xml:space="preserve"> на лепило при ремонти по пода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37,90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63ED" w:rsidRPr="00851000" w:rsidTr="00513F80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851000">
            <w:pPr>
              <w:rPr>
                <w:rFonts w:ascii="Times New Roman" w:hAnsi="Times New Roman"/>
              </w:rPr>
            </w:pPr>
            <w:r w:rsidRPr="00851000">
              <w:rPr>
                <w:rFonts w:ascii="Times New Roman" w:hAnsi="Times New Roman"/>
              </w:rPr>
              <w:t>Изхвърляне на строителни отпадъци /вкл. и счупени стъкла/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м3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3ED" w:rsidRPr="00851000" w:rsidRDefault="00D263ED" w:rsidP="00513F80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1000">
              <w:rPr>
                <w:rFonts w:ascii="Times New Roman" w:hAnsi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ED" w:rsidRPr="00851000" w:rsidRDefault="00D263ED" w:rsidP="00D263ED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1000" w:rsidRPr="00851000" w:rsidTr="00851000">
        <w:trPr>
          <w:trHeight w:val="68"/>
        </w:trPr>
        <w:tc>
          <w:tcPr>
            <w:tcW w:w="66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000" w:rsidRPr="00851000" w:rsidRDefault="00851000" w:rsidP="0085100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85100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851000" w:rsidRPr="00851000" w:rsidTr="00851000">
        <w:trPr>
          <w:trHeight w:val="195"/>
        </w:trPr>
        <w:tc>
          <w:tcPr>
            <w:tcW w:w="667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000" w:rsidRPr="00851000" w:rsidRDefault="00851000" w:rsidP="0004466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5100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Непредвидени р-ди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….</w:t>
            </w:r>
            <w:r w:rsidRPr="0085100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….%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851000" w:rsidRPr="00851000" w:rsidTr="00851000">
        <w:trPr>
          <w:trHeight w:val="345"/>
        </w:trPr>
        <w:tc>
          <w:tcPr>
            <w:tcW w:w="667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000" w:rsidRPr="00851000" w:rsidRDefault="00851000" w:rsidP="0085100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85100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Общо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:</w:t>
            </w:r>
            <w:r w:rsidRPr="0085100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00" w:rsidRPr="00851000" w:rsidRDefault="00851000" w:rsidP="00D263ED">
            <w:pPr>
              <w:pStyle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</w:p>
    <w:p w:rsidR="00851000" w:rsidRP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lastRenderedPageBreak/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851000" w:rsidRPr="001E08EF" w:rsidRDefault="00851000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851000">
        <w:rPr>
          <w:rFonts w:ascii="Times New Roman" w:hAnsi="Times New Roman"/>
          <w:bCs/>
          <w:i/>
          <w:sz w:val="24"/>
          <w:szCs w:val="24"/>
        </w:rPr>
        <w:t>7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>0 /</w:t>
      </w:r>
      <w:r w:rsidR="00851000">
        <w:rPr>
          <w:rFonts w:ascii="Times New Roman" w:hAnsi="Times New Roman"/>
          <w:bCs/>
          <w:i/>
          <w:sz w:val="24"/>
          <w:szCs w:val="24"/>
        </w:rPr>
        <w:t>седемдесет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>/ календарни дни</w:t>
      </w:r>
      <w:r w:rsidR="00851000" w:rsidRPr="00851000">
        <w:rPr>
          <w:rFonts w:ascii="Times New Roman" w:hAnsi="Times New Roman"/>
          <w:bCs/>
          <w:sz w:val="24"/>
          <w:szCs w:val="24"/>
        </w:rPr>
        <w:t>/, считано от датата на протокола за откриване на строителна пл</w:t>
      </w:r>
      <w:r w:rsidR="00851000" w:rsidRPr="00851000">
        <w:rPr>
          <w:rFonts w:ascii="Times New Roman" w:hAnsi="Times New Roman"/>
          <w:bCs/>
          <w:sz w:val="24"/>
          <w:szCs w:val="24"/>
        </w:rPr>
        <w:t>о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общата стойност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фактура на името на „БДЖ - Пътнически превози” ЕООД, гр. София - 1080, ул. „Иван Вазов” № 3, с МОЛ – Любен Нанов-управител,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„Иван Вазов” № 3 с МОЛ – Любен Нанов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Декларираме, че приемаме гаранционните срокове за обекта да са съгласно условията в Техническата спецификация – Приложение 1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законоустановения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C41211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CA5A38">
        <w:rPr>
          <w:rFonts w:ascii="Times New Roman" w:hAnsi="Times New Roman"/>
          <w:b/>
          <w:sz w:val="20"/>
          <w:szCs w:val="20"/>
        </w:rPr>
        <w:t>.</w:t>
      </w: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bookmarkStart w:id="0" w:name="_GoBack"/>
      <w:bookmarkEnd w:id="0"/>
    </w:p>
    <w:sectPr w:rsidR="00795EC7" w:rsidRPr="00795EC7" w:rsidSect="00795EC7">
      <w:pgSz w:w="11906" w:h="16838"/>
      <w:pgMar w:top="284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8" w:rsidRDefault="00FF5068">
      <w:pPr>
        <w:spacing w:after="0" w:line="240" w:lineRule="auto"/>
      </w:pPr>
      <w:r>
        <w:separator/>
      </w:r>
    </w:p>
  </w:endnote>
  <w:endnote w:type="continuationSeparator" w:id="0">
    <w:p w:rsidR="00FF5068" w:rsidRDefault="00F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8" w:rsidRDefault="00FF5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068" w:rsidRDefault="00F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94D55"/>
    <w:rsid w:val="001D3929"/>
    <w:rsid w:val="00215015"/>
    <w:rsid w:val="002155F1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820CC"/>
    <w:rsid w:val="003B5D3C"/>
    <w:rsid w:val="003B5EC6"/>
    <w:rsid w:val="003C49D8"/>
    <w:rsid w:val="004179B0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3F80"/>
    <w:rsid w:val="005155ED"/>
    <w:rsid w:val="00537758"/>
    <w:rsid w:val="00544A14"/>
    <w:rsid w:val="00563E32"/>
    <w:rsid w:val="00566720"/>
    <w:rsid w:val="005A495D"/>
    <w:rsid w:val="005B5600"/>
    <w:rsid w:val="005F0BC9"/>
    <w:rsid w:val="005F5935"/>
    <w:rsid w:val="006006FA"/>
    <w:rsid w:val="0063729B"/>
    <w:rsid w:val="00650444"/>
    <w:rsid w:val="006566DA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4656B"/>
    <w:rsid w:val="00793751"/>
    <w:rsid w:val="00795EC7"/>
    <w:rsid w:val="007C0F0D"/>
    <w:rsid w:val="007C3FAC"/>
    <w:rsid w:val="0081185F"/>
    <w:rsid w:val="008434E1"/>
    <w:rsid w:val="00851000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379E0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5137D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75EF5"/>
    <w:rsid w:val="00B93576"/>
    <w:rsid w:val="00BA09CB"/>
    <w:rsid w:val="00BB0B05"/>
    <w:rsid w:val="00BD1443"/>
    <w:rsid w:val="00BF27ED"/>
    <w:rsid w:val="00C1029B"/>
    <w:rsid w:val="00C17DF2"/>
    <w:rsid w:val="00C41211"/>
    <w:rsid w:val="00C42EAF"/>
    <w:rsid w:val="00C608F8"/>
    <w:rsid w:val="00C64BB6"/>
    <w:rsid w:val="00CA3C4A"/>
    <w:rsid w:val="00CA5A38"/>
    <w:rsid w:val="00CC781E"/>
    <w:rsid w:val="00D01465"/>
    <w:rsid w:val="00D263ED"/>
    <w:rsid w:val="00D459CF"/>
    <w:rsid w:val="00D47249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23C8-3156-4406-BCAA-E372FFDA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2021-11-10T06:59:00Z</cp:lastPrinted>
  <dcterms:created xsi:type="dcterms:W3CDTF">2021-11-24T08:28:00Z</dcterms:created>
  <dcterms:modified xsi:type="dcterms:W3CDTF">2021-11-24T08:28:00Z</dcterms:modified>
</cp:coreProperties>
</file>