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D7051" w:rsidRDefault="00ED7051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</w:t>
      </w:r>
      <w:r w:rsidR="00F72574">
        <w:rPr>
          <w:rFonts w:ascii="Times New Roman" w:hAnsi="Times New Roman"/>
          <w:sz w:val="24"/>
          <w:szCs w:val="24"/>
        </w:rPr>
        <w:t>3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C63BF7" w:rsidRPr="00C63BF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„Абонаментна поддръжка, сервизно и техническо обслужване на </w:t>
      </w:r>
      <w:proofErr w:type="spellStart"/>
      <w:r w:rsidR="00C63BF7" w:rsidRPr="00C63BF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водогрейни</w:t>
      </w:r>
      <w:proofErr w:type="spellEnd"/>
      <w:r w:rsidR="00C63BF7" w:rsidRPr="00C63BF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котли, промишлени съоръжения и инсталации на природен газ на територията  на ППП Горна Оряховица за период от шест месеца”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ED7051" w:rsidRPr="003B5EC6" w:rsidRDefault="00ED7051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</w:t>
      </w:r>
      <w:r w:rsidR="00ED7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специф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</w:t>
      </w:r>
      <w:r w:rsidR="00ED7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изпълнение на </w:t>
      </w:r>
      <w:r w:rsid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обществена поръчка с предмет</w:t>
      </w:r>
      <w:r w:rsidR="004D124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FF33F8" w:rsidRPr="00FF33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„Абонаментна поддръжка, сервизно и техническо обслужване на </w:t>
      </w:r>
      <w:proofErr w:type="spellStart"/>
      <w:r w:rsidR="00FF33F8" w:rsidRPr="00FF33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водогрейни</w:t>
      </w:r>
      <w:proofErr w:type="spellEnd"/>
      <w:r w:rsidR="00FF33F8" w:rsidRPr="00FF33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котли, промишлени съоръжения и инсталации на прир</w:t>
      </w:r>
      <w:r w:rsidR="00FF33F8" w:rsidRPr="00FF33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FF33F8" w:rsidRPr="00FF33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ден газ на територията  на ППП Горна Оряховица за период от шест месеца”</w:t>
      </w:r>
      <w:r w:rsidR="00632051"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Приложение №1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ED7051" w:rsidRDefault="00ED7051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4D1243" w:rsidRPr="003B5EC6" w:rsidRDefault="004D1243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3B5D3C" w:rsidRDefault="00A328EC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4D1243" w:rsidRDefault="004D1243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ED7051" w:rsidRPr="0005472C" w:rsidRDefault="00ED7051" w:rsidP="007316CE">
      <w:pPr>
        <w:spacing w:after="0" w:line="240" w:lineRule="auto"/>
        <w:ind w:firstLine="567"/>
        <w:jc w:val="both"/>
      </w:pPr>
    </w:p>
    <w:p w:rsidR="00260213" w:rsidRDefault="00260213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Cs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д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мет: </w:t>
      </w:r>
      <w:r w:rsidR="00FF33F8" w:rsidRPr="00FF33F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„Абонаментна поддръжка, сервизно и техническо обслужване на </w:t>
      </w:r>
      <w:proofErr w:type="spellStart"/>
      <w:r w:rsidR="00FF33F8" w:rsidRPr="00FF33F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водогрейни</w:t>
      </w:r>
      <w:proofErr w:type="spellEnd"/>
      <w:r w:rsidR="00FF33F8" w:rsidRPr="00FF33F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котли, пр</w:t>
      </w:r>
      <w:r w:rsidR="00FF33F8" w:rsidRPr="00FF33F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</w:t>
      </w:r>
      <w:r w:rsidR="00FF33F8" w:rsidRPr="00FF33F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мишлени съоръжения и инсталации на природен газ на територията  на ППП Горна Оряховица за период от шест месеца”</w:t>
      </w:r>
      <w:r w:rsidR="00350CD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6006FA">
        <w:rPr>
          <w:rStyle w:val="10"/>
          <w:rFonts w:ascii="Times New Roman" w:hAnsi="Times New Roman"/>
          <w:bCs/>
          <w:sz w:val="24"/>
          <w:szCs w:val="24"/>
        </w:rPr>
        <w:t>.</w:t>
      </w:r>
      <w:r w:rsidR="0025103A" w:rsidRPr="0005472C">
        <w:rPr>
          <w:rStyle w:val="10"/>
          <w:rFonts w:ascii="Times New Roman" w:hAnsi="Times New Roman"/>
          <w:bCs/>
          <w:sz w:val="24"/>
          <w:szCs w:val="24"/>
        </w:rPr>
        <w:t xml:space="preserve"> лева без включен ДДС.</w:t>
      </w:r>
    </w:p>
    <w:p w:rsidR="003E7783" w:rsidRDefault="003E7783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p w:rsidR="00D15E24" w:rsidRPr="00D15E24" w:rsidRDefault="00D15E24" w:rsidP="00FF33F8">
      <w:pPr>
        <w:pStyle w:val="1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Превозна служба Горна Оряховица</w:t>
      </w:r>
      <w:r w:rsidR="00FF33F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</w:t>
      </w:r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>Водогреен</w:t>
      </w:r>
      <w:proofErr w:type="spellEnd"/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 xml:space="preserve"> газов котел </w:t>
      </w:r>
      <w:proofErr w:type="spellStart"/>
      <w:r w:rsidR="00FF33F8" w:rsidRPr="00FF33F8">
        <w:rPr>
          <w:rFonts w:ascii="Times New Roman" w:eastAsia="Times New Roman" w:hAnsi="Times New Roman"/>
          <w:sz w:val="24"/>
          <w:szCs w:val="24"/>
          <w:lang w:val="en-GB" w:eastAsia="bg-BG"/>
        </w:rPr>
        <w:t>Termostahl</w:t>
      </w:r>
      <w:proofErr w:type="spellEnd"/>
      <w:r w:rsidR="00FF33F8" w:rsidRPr="00FF33F8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ENP – 200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– 1 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брой </w:t>
      </w:r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>Водогреен</w:t>
      </w:r>
      <w:proofErr w:type="spellEnd"/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 xml:space="preserve"> газов котел </w:t>
      </w:r>
      <w:proofErr w:type="spellStart"/>
      <w:r w:rsidR="00FF33F8" w:rsidRPr="00FF33F8">
        <w:rPr>
          <w:rFonts w:ascii="Times New Roman" w:eastAsia="Times New Roman" w:hAnsi="Times New Roman"/>
          <w:sz w:val="24"/>
          <w:szCs w:val="24"/>
          <w:lang w:val="en-GB" w:eastAsia="bg-BG"/>
        </w:rPr>
        <w:t>Termostahl</w:t>
      </w:r>
      <w:proofErr w:type="spellEnd"/>
      <w:r w:rsidR="00FF33F8" w:rsidRPr="00FF33F8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ENP 120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eastAsia="bg-BG"/>
        </w:rPr>
        <w:t>– 1 брой: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абонаментно обслужване на </w:t>
      </w:r>
      <w:proofErr w:type="spellStart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водогрейни</w:t>
      </w:r>
      <w:proofErr w:type="spellEnd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котли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 бр. по 2 тримесечия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-проверка сензор за наличие на газ метан 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TGS - 813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2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бр.,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-настройка на предпазно – изпускателен клапан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 бр.,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 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настройка на регулатор на газова линия 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 бр.,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-проверка на елементи газопроводна инсталация за пропуски на газ и дефекти – заварки, </w:t>
      </w:r>
      <w:proofErr w:type="spellStart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фланци</w:t>
      </w:r>
      <w:proofErr w:type="spellEnd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арматура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43 бр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.,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-проверка и настройка на термостати котли, автоматика и настройка горелка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 бр.,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ДДС.</w:t>
      </w:r>
    </w:p>
    <w:p w:rsidR="00D15E24" w:rsidRPr="00D15E24" w:rsidRDefault="00D15E24" w:rsidP="00FF33F8">
      <w:pPr>
        <w:pStyle w:val="1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Локомотивно депо Горна Оряховица</w:t>
      </w:r>
      <w:r w:rsidR="00FF33F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</w:t>
      </w:r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>Промишлен /</w:t>
      </w:r>
      <w:proofErr w:type="spellStart"/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>площадков</w:t>
      </w:r>
      <w:proofErr w:type="spellEnd"/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>/ газопровод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1брой, </w:t>
      </w:r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Промишлена газова инсталация с </w:t>
      </w:r>
      <w:proofErr w:type="spellStart"/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>газоразпределителни</w:t>
      </w:r>
      <w:proofErr w:type="spellEnd"/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 xml:space="preserve"> табла  /ГРТ/ 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- 4 броя, </w:t>
      </w:r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 xml:space="preserve">Топловъздушни апарати </w:t>
      </w:r>
      <w:r w:rsidR="00FF33F8" w:rsidRPr="00FF33F8">
        <w:rPr>
          <w:rFonts w:ascii="Times New Roman" w:eastAsia="Times New Roman" w:hAnsi="Times New Roman"/>
          <w:sz w:val="24"/>
          <w:szCs w:val="24"/>
          <w:lang w:val="en-GB" w:eastAsia="bg-BG"/>
        </w:rPr>
        <w:t>TBA Robur 63.8kW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– 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24 броя и </w:t>
      </w:r>
      <w:r w:rsidR="00FF33F8" w:rsidRPr="00FF33F8">
        <w:rPr>
          <w:rFonts w:ascii="Times New Roman" w:eastAsia="Times New Roman" w:hAnsi="Times New Roman"/>
          <w:sz w:val="24"/>
          <w:szCs w:val="24"/>
          <w:lang w:eastAsia="bg-BG"/>
        </w:rPr>
        <w:t xml:space="preserve">Генератор за горещ въздух </w:t>
      </w:r>
      <w:r w:rsidR="00FF33F8" w:rsidRPr="00FF33F8">
        <w:rPr>
          <w:rFonts w:ascii="Times New Roman" w:eastAsia="Times New Roman" w:hAnsi="Times New Roman"/>
          <w:sz w:val="24"/>
          <w:szCs w:val="24"/>
          <w:lang w:val="en-GB" w:eastAsia="bg-BG"/>
        </w:rPr>
        <w:t>GR 250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– 1 </w:t>
      </w:r>
      <w:r w:rsidR="00FF33F8" w:rsidRPr="00FF33F8">
        <w:rPr>
          <w:rFonts w:ascii="Times New Roman" w:eastAsia="Times New Roman" w:hAnsi="Times New Roman"/>
          <w:b/>
          <w:sz w:val="24"/>
          <w:szCs w:val="24"/>
          <w:lang w:eastAsia="bg-BG"/>
        </w:rPr>
        <w:t>брой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-проверка на елементи на промишлен /</w:t>
      </w:r>
      <w:proofErr w:type="spellStart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площадков</w:t>
      </w:r>
      <w:proofErr w:type="spellEnd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/ газопровод – заварки, </w:t>
      </w:r>
      <w:proofErr w:type="spellStart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фланци</w:t>
      </w:r>
      <w:proofErr w:type="spellEnd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арматура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1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72 бр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.,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-проверка сигнализатори за природен газ /„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GAS – </w:t>
      </w:r>
      <w:proofErr w:type="spellStart"/>
      <w:r w:rsidRPr="00D15E2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TRANSmiter</w:t>
      </w:r>
      <w:proofErr w:type="spellEnd"/>
      <w:r w:rsidRPr="00D15E2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DGS510-Cd/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16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бр.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-проверка на </w:t>
      </w:r>
      <w:proofErr w:type="spellStart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газсигнализаторни</w:t>
      </w:r>
      <w:proofErr w:type="spellEnd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централи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 бр.,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-настройка на предпазно - изпускателен клапан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 бр.,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-настройка на регулатор на газова линия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 бр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.,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-техническо обслужване на топловъздушни апарати ТВА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24 бр.,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ДДС;</w:t>
      </w:r>
    </w:p>
    <w:p w:rsidR="00D15E24" w:rsidRPr="00D15E24" w:rsidRDefault="00D15E24" w:rsidP="00D15E24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-техническо обслужване на генератор за горещ въздух –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 бр.,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единична цена  </w:t>
      </w:r>
      <w:r w:rsidRPr="00D15E2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 без ДДС.</w:t>
      </w:r>
    </w:p>
    <w:p w:rsidR="00851FA3" w:rsidRPr="0005472C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:rsidR="000D338A" w:rsidRDefault="000D338A" w:rsidP="009F0455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с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ки/аритметични грешки в ценовото предложение на участника, водещи до несъответствие ме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ж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 xml:space="preserve">от участника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и съответните количества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Default="003B5D3C">
      <w:pPr>
        <w:pStyle w:val="1"/>
        <w:spacing w:after="0"/>
        <w:jc w:val="both"/>
      </w:pPr>
    </w:p>
    <w:p w:rsidR="004D1243" w:rsidRPr="0005472C" w:rsidRDefault="004D1243">
      <w:pPr>
        <w:pStyle w:val="1"/>
        <w:spacing w:after="0"/>
        <w:jc w:val="both"/>
      </w:pPr>
    </w:p>
    <w:p w:rsidR="003B5D3C" w:rsidRPr="0005472C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>Срок за изпълнение</w:t>
      </w:r>
      <w:r w:rsidR="00632051">
        <w:rPr>
          <w:rStyle w:val="10"/>
          <w:rFonts w:ascii="Times New Roman" w:hAnsi="Times New Roman"/>
          <w:b/>
          <w:bCs/>
          <w:sz w:val="24"/>
          <w:szCs w:val="24"/>
        </w:rPr>
        <w:t>: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4D1243">
        <w:rPr>
          <w:rFonts w:ascii="Times New Roman" w:hAnsi="Times New Roman"/>
          <w:b/>
          <w:bCs/>
          <w:sz w:val="24"/>
          <w:szCs w:val="24"/>
        </w:rPr>
        <w:t>6</w:t>
      </w:r>
      <w:r w:rsidR="00632051" w:rsidRPr="00632051">
        <w:rPr>
          <w:rFonts w:ascii="Times New Roman" w:hAnsi="Times New Roman"/>
          <w:b/>
          <w:bCs/>
          <w:sz w:val="24"/>
          <w:szCs w:val="24"/>
        </w:rPr>
        <w:t xml:space="preserve"> /</w:t>
      </w:r>
      <w:r w:rsidR="004D1243">
        <w:rPr>
          <w:rFonts w:ascii="Times New Roman" w:hAnsi="Times New Roman"/>
          <w:b/>
          <w:bCs/>
          <w:sz w:val="24"/>
          <w:szCs w:val="24"/>
        </w:rPr>
        <w:t>шест</w:t>
      </w:r>
      <w:r w:rsidR="00632051" w:rsidRPr="00632051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4D1243">
        <w:rPr>
          <w:rFonts w:ascii="Times New Roman" w:hAnsi="Times New Roman"/>
          <w:b/>
          <w:bCs/>
          <w:sz w:val="24"/>
          <w:szCs w:val="24"/>
        </w:rPr>
        <w:t>месеца</w:t>
      </w:r>
      <w:r w:rsidR="00632051">
        <w:rPr>
          <w:rFonts w:ascii="Times New Roman" w:hAnsi="Times New Roman"/>
          <w:b/>
          <w:bCs/>
          <w:sz w:val="24"/>
          <w:szCs w:val="24"/>
        </w:rPr>
        <w:t>.</w:t>
      </w:r>
    </w:p>
    <w:p w:rsidR="003B5D3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4D1243" w:rsidRPr="0005472C" w:rsidRDefault="004D1243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Default="00A328EC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AE4F17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4D1243" w:rsidRPr="004D1243" w:rsidRDefault="004D1243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632051" w:rsidRPr="00D15E24" w:rsidRDefault="00632051" w:rsidP="00D15E24">
      <w:pPr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Плащането се извършва по банков път по сметка на Изпълнителя;</w:t>
      </w:r>
    </w:p>
    <w:p w:rsidR="00632051" w:rsidRPr="00632051" w:rsidRDefault="00632051" w:rsidP="00D15E24">
      <w:pPr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lang w:eastAsia="bg-BG"/>
        </w:rPr>
      </w:pPr>
      <w:r w:rsidRPr="00632051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Плащането се извършва ежемесечно до 10-то число на месеца, за изпълнените дейности през предходния месец;</w:t>
      </w:r>
    </w:p>
    <w:p w:rsidR="00D15E24" w:rsidRPr="00D15E24" w:rsidRDefault="00632051" w:rsidP="00D15E24">
      <w:pPr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color w:val="000000"/>
          <w:lang w:eastAsia="bg-BG"/>
        </w:rPr>
      </w:pPr>
      <w:r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Необходимите документи за извършване на плащането</w:t>
      </w:r>
      <w:r w:rsid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D15E24" w:rsidRPr="00D15E24" w:rsidRDefault="00D15E24" w:rsidP="00D15E24">
      <w:pPr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1.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двустранно подписан протокол, между представители на Възложителя и Изпълнителя, доказващ извършеният брой извършена дейност.</w:t>
      </w:r>
    </w:p>
    <w:p w:rsidR="00632051" w:rsidRPr="00632051" w:rsidRDefault="00D15E24" w:rsidP="00D15E24">
      <w:pPr>
        <w:autoSpaceDN/>
        <w:spacing w:after="0" w:line="240" w:lineRule="auto"/>
        <w:textAlignment w:val="auto"/>
        <w:rPr>
          <w:rFonts w:ascii="Times New Roman" w:eastAsia="Times New Roman" w:hAnsi="Times New Roman"/>
        </w:rPr>
      </w:pP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оригинална фактура, издадена на името на “БДЖ – Пътнически превози” ЕООД – с адрес - гр. София, 1080, ул. “Иван Вазов” № 3, с МОЛ: </w:t>
      </w:r>
      <w:r w:rsidR="00FF33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Константин </w:t>
      </w:r>
      <w:proofErr w:type="spellStart"/>
      <w:r w:rsidR="00FF33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Азов</w:t>
      </w:r>
      <w:proofErr w:type="spellEnd"/>
      <w:r w:rsidRPr="00D15E2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съдържаща № и предмет на договора, както вид, брой, единична цена и обща стойност на извършените прегледи</w:t>
      </w:r>
    </w:p>
    <w:p w:rsidR="000B3C90" w:rsidRDefault="00D15E24" w:rsidP="00632051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="000B3C90"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="000B3C90"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="000B3C90"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Pr="0005472C" w:rsidRDefault="00503CA0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календарни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F72574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F72574">
        <w:rPr>
          <w:rFonts w:ascii="Times New Roman" w:hAnsi="Times New Roman"/>
          <w:b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574">
        <w:rPr>
          <w:rFonts w:ascii="Times New Roman" w:hAnsi="Times New Roman"/>
          <w:bCs/>
          <w:sz w:val="24"/>
          <w:szCs w:val="24"/>
        </w:rPr>
        <w:t>Документ ( лицензия), издаден от Председателя на Държавна агенция за метрологичен и технически надзор.</w:t>
      </w:r>
    </w:p>
    <w:tbl>
      <w:tblPr>
        <w:tblW w:w="9514" w:type="dxa"/>
        <w:tblInd w:w="93" w:type="dxa"/>
        <w:tblLook w:val="0000" w:firstRow="0" w:lastRow="0" w:firstColumn="0" w:lastColumn="0" w:noHBand="0" w:noVBand="0"/>
      </w:tblPr>
      <w:tblGrid>
        <w:gridCol w:w="9514"/>
      </w:tblGrid>
      <w:tr w:rsidR="00ED7051" w:rsidRPr="00ED7051" w:rsidTr="00632051">
        <w:trPr>
          <w:trHeight w:val="78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051">
              <w:rPr>
                <w:rFonts w:ascii="Times New Roman" w:hAnsi="Times New Roman"/>
                <w:sz w:val="24"/>
                <w:szCs w:val="24"/>
              </w:rPr>
              <w:t xml:space="preserve">Дата: …………………..                                                             Подпис и печат:…………… </w:t>
            </w:r>
          </w:p>
          <w:p w:rsidR="00ED7051" w:rsidRPr="00632051" w:rsidRDefault="00ED7051" w:rsidP="00632051">
            <w:pPr>
              <w:suppressAutoHyphens/>
              <w:spacing w:after="0"/>
            </w:pPr>
            <w:r w:rsidRPr="00ED70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(име и фамилия, длъжност)</w:t>
            </w:r>
          </w:p>
        </w:tc>
      </w:tr>
    </w:tbl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</w:pPr>
      <w:bookmarkStart w:id="0" w:name="_GoBack"/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>Съгласувано с</w:t>
      </w:r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val="en-US" w:eastAsia="bg-BG"/>
        </w:rPr>
        <w:t>:</w:t>
      </w: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</w:pP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  <w:t xml:space="preserve">………………..  </w:t>
      </w:r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>Биляна Христова</w:t>
      </w: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  <w:t>и. д. директор на дирекция „Финанси”</w:t>
      </w:r>
    </w:p>
    <w:p w:rsidR="00632051" w:rsidRPr="006658DE" w:rsidRDefault="00632051" w:rsidP="00632051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</w:p>
    <w:p w:rsidR="00622A9B" w:rsidRPr="006658DE" w:rsidRDefault="00622A9B" w:rsidP="00622A9B">
      <w:pPr>
        <w:autoSpaceDN/>
        <w:spacing w:after="0" w:line="240" w:lineRule="auto"/>
        <w:ind w:right="-708"/>
        <w:jc w:val="both"/>
        <w:textAlignment w:val="auto"/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  <w:t>…………………….</w:t>
      </w:r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>инж.</w:t>
      </w:r>
      <w:r w:rsidRPr="006658DE"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  <w:t xml:space="preserve"> </w:t>
      </w:r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 xml:space="preserve">Венцислав Славков </w:t>
      </w:r>
    </w:p>
    <w:p w:rsidR="00622A9B" w:rsidRPr="006658DE" w:rsidRDefault="00622A9B" w:rsidP="00622A9B">
      <w:pPr>
        <w:autoSpaceDN/>
        <w:spacing w:after="0" w:line="240" w:lineRule="auto"/>
        <w:ind w:right="-708"/>
        <w:jc w:val="both"/>
        <w:textAlignment w:val="auto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  <w:t>зам. директор на дирекция „ПЖПС“, „Локомотиви“</w:t>
      </w: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</w:p>
    <w:p w:rsidR="00632051" w:rsidRPr="006658DE" w:rsidRDefault="00632051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  <w:t xml:space="preserve">…………………. </w:t>
      </w:r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>Християна Цанева</w:t>
      </w: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  <w:t>и. д. директор на дирекция МТС</w:t>
      </w: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</w:p>
    <w:p w:rsidR="00556C3F" w:rsidRPr="006658DE" w:rsidRDefault="00556C3F" w:rsidP="00556C3F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  <w:t>…………………..</w:t>
      </w:r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 xml:space="preserve"> инж. Цветелина Гаврилова</w:t>
      </w:r>
    </w:p>
    <w:p w:rsidR="00556C3F" w:rsidRPr="006658DE" w:rsidRDefault="00556C3F" w:rsidP="00556C3F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val="ru-RU" w:eastAsia="bg-BG"/>
        </w:rPr>
      </w:pPr>
      <w:r w:rsidRPr="006658DE"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  <w:t>ръководител отдел „Снабдяване”</w:t>
      </w: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val="en-US" w:eastAsia="bg-BG"/>
        </w:rPr>
      </w:pP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val="en-US" w:eastAsia="bg-BG"/>
        </w:rPr>
      </w:pP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>Изготвил:</w:t>
      </w: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</w:pP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color w:val="FFFFFF" w:themeColor="background1"/>
          <w:sz w:val="16"/>
          <w:szCs w:val="16"/>
          <w:lang w:val="en-US" w:eastAsia="bg-BG"/>
        </w:rPr>
        <w:t>……………</w:t>
      </w:r>
      <w:r w:rsidRPr="006658DE"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  <w:t>…….</w:t>
      </w:r>
      <w:r w:rsidRPr="006658D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>.Габриела Серафимова</w:t>
      </w:r>
    </w:p>
    <w:p w:rsidR="003B5EC6" w:rsidRPr="006658D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</w:pPr>
      <w:r w:rsidRPr="006658DE"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  <w:t>Старши експерт, ППД  в отдел „Снабдяване“</w:t>
      </w:r>
      <w:bookmarkEnd w:id="0"/>
    </w:p>
    <w:sectPr w:rsidR="003B5EC6" w:rsidRPr="006658DE" w:rsidSect="004D1243">
      <w:pgSz w:w="11906" w:h="16838"/>
      <w:pgMar w:top="709" w:right="566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68" w:rsidRDefault="00FF5068">
      <w:pPr>
        <w:spacing w:after="0" w:line="240" w:lineRule="auto"/>
      </w:pPr>
      <w:r>
        <w:separator/>
      </w:r>
    </w:p>
  </w:endnote>
  <w:endnote w:type="continuationSeparator" w:id="0">
    <w:p w:rsidR="00FF5068" w:rsidRDefault="00FF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68" w:rsidRDefault="00FF50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5068" w:rsidRDefault="00FF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9C7B52"/>
    <w:multiLevelType w:val="hybridMultilevel"/>
    <w:tmpl w:val="0B5659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D3929"/>
    <w:rsid w:val="00215015"/>
    <w:rsid w:val="002155F1"/>
    <w:rsid w:val="002238E1"/>
    <w:rsid w:val="00230077"/>
    <w:rsid w:val="002476EF"/>
    <w:rsid w:val="0025103A"/>
    <w:rsid w:val="00260213"/>
    <w:rsid w:val="002B5149"/>
    <w:rsid w:val="002D57EA"/>
    <w:rsid w:val="002E61E0"/>
    <w:rsid w:val="002E6AE7"/>
    <w:rsid w:val="00320D6F"/>
    <w:rsid w:val="00340E20"/>
    <w:rsid w:val="00350CD2"/>
    <w:rsid w:val="00371D23"/>
    <w:rsid w:val="003820CC"/>
    <w:rsid w:val="003B5D3C"/>
    <w:rsid w:val="003B5EC6"/>
    <w:rsid w:val="003C49D8"/>
    <w:rsid w:val="003E7783"/>
    <w:rsid w:val="00463CAA"/>
    <w:rsid w:val="00483DF1"/>
    <w:rsid w:val="004A6B21"/>
    <w:rsid w:val="004B0F26"/>
    <w:rsid w:val="004C42EF"/>
    <w:rsid w:val="004C798D"/>
    <w:rsid w:val="004D1243"/>
    <w:rsid w:val="004E1F76"/>
    <w:rsid w:val="004F0182"/>
    <w:rsid w:val="00503CA0"/>
    <w:rsid w:val="005155ED"/>
    <w:rsid w:val="00537758"/>
    <w:rsid w:val="00544A14"/>
    <w:rsid w:val="00556C3F"/>
    <w:rsid w:val="00563E32"/>
    <w:rsid w:val="00566720"/>
    <w:rsid w:val="005A495D"/>
    <w:rsid w:val="005B5600"/>
    <w:rsid w:val="005F0BC9"/>
    <w:rsid w:val="005F5935"/>
    <w:rsid w:val="006006FA"/>
    <w:rsid w:val="00622A9B"/>
    <w:rsid w:val="00632051"/>
    <w:rsid w:val="0063729B"/>
    <w:rsid w:val="00650444"/>
    <w:rsid w:val="006611A9"/>
    <w:rsid w:val="00662E9D"/>
    <w:rsid w:val="006638F8"/>
    <w:rsid w:val="006658DE"/>
    <w:rsid w:val="00682BF1"/>
    <w:rsid w:val="0068612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93751"/>
    <w:rsid w:val="007C0F0D"/>
    <w:rsid w:val="0081185F"/>
    <w:rsid w:val="008434E1"/>
    <w:rsid w:val="00851FA3"/>
    <w:rsid w:val="00854882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56B79"/>
    <w:rsid w:val="00987D18"/>
    <w:rsid w:val="00992E1C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5137D"/>
    <w:rsid w:val="00A71FDD"/>
    <w:rsid w:val="00A92E8C"/>
    <w:rsid w:val="00A955D9"/>
    <w:rsid w:val="00AB3927"/>
    <w:rsid w:val="00AB43F8"/>
    <w:rsid w:val="00AD1AFD"/>
    <w:rsid w:val="00AD5EB7"/>
    <w:rsid w:val="00AE4F17"/>
    <w:rsid w:val="00AE79A1"/>
    <w:rsid w:val="00AF4FD9"/>
    <w:rsid w:val="00B40452"/>
    <w:rsid w:val="00B75EF5"/>
    <w:rsid w:val="00B93576"/>
    <w:rsid w:val="00BA09CB"/>
    <w:rsid w:val="00BB0B05"/>
    <w:rsid w:val="00BD1443"/>
    <w:rsid w:val="00BF27ED"/>
    <w:rsid w:val="00C1029B"/>
    <w:rsid w:val="00C17DF2"/>
    <w:rsid w:val="00C41211"/>
    <w:rsid w:val="00C42EAF"/>
    <w:rsid w:val="00C63BF7"/>
    <w:rsid w:val="00C64BB6"/>
    <w:rsid w:val="00CA3C4A"/>
    <w:rsid w:val="00CC781E"/>
    <w:rsid w:val="00D01465"/>
    <w:rsid w:val="00D15E24"/>
    <w:rsid w:val="00D459CF"/>
    <w:rsid w:val="00D47249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C3D41"/>
    <w:rsid w:val="00ED1387"/>
    <w:rsid w:val="00ED7051"/>
    <w:rsid w:val="00F16912"/>
    <w:rsid w:val="00F24292"/>
    <w:rsid w:val="00F34219"/>
    <w:rsid w:val="00F516F7"/>
    <w:rsid w:val="00F6094C"/>
    <w:rsid w:val="00F72574"/>
    <w:rsid w:val="00F95E4F"/>
    <w:rsid w:val="00FA1D80"/>
    <w:rsid w:val="00FA5971"/>
    <w:rsid w:val="00FB3F7F"/>
    <w:rsid w:val="00FC6770"/>
    <w:rsid w:val="00FF33F8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table" w:styleId="TableGrid">
    <w:name w:val="Table Grid"/>
    <w:basedOn w:val="TableNormal"/>
    <w:uiPriority w:val="59"/>
    <w:rsid w:val="00ED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table" w:styleId="TableGrid">
    <w:name w:val="Table Grid"/>
    <w:basedOn w:val="TableNormal"/>
    <w:uiPriority w:val="59"/>
    <w:rsid w:val="00ED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B6F8-8F9D-4241-AA81-99708CC9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2</cp:revision>
  <cp:lastPrinted>2021-11-25T12:36:00Z</cp:lastPrinted>
  <dcterms:created xsi:type="dcterms:W3CDTF">2022-01-24T12:06:00Z</dcterms:created>
  <dcterms:modified xsi:type="dcterms:W3CDTF">2022-01-24T12:06:00Z</dcterms:modified>
</cp:coreProperties>
</file>